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C22E" w14:textId="20BD3584" w:rsidR="0022175C" w:rsidRDefault="0022175C" w:rsidP="0022175C">
      <w:pPr>
        <w:spacing w:before="240" w:line="259" w:lineRule="auto"/>
        <w:jc w:val="center"/>
        <w:rPr>
          <w:rFonts w:ascii="Garamond" w:hAnsi="Garamond"/>
          <w:b/>
          <w:bCs/>
          <w:color w:val="582831"/>
          <w:sz w:val="16"/>
          <w:szCs w:val="16"/>
        </w:rPr>
      </w:pPr>
      <w:r w:rsidRPr="0022175C">
        <w:rPr>
          <w:rFonts w:ascii="Garamond" w:hAnsi="Garamond"/>
          <w:b/>
          <w:bCs/>
          <w:color w:val="582831"/>
          <w:sz w:val="16"/>
          <w:szCs w:val="16"/>
        </w:rPr>
        <w:t>Getting Prior Authorizations for TRICARE Prescriptions: Your Questions Answered</w:t>
      </w:r>
    </w:p>
    <w:p w14:paraId="1B9247A4" w14:textId="77777777" w:rsidR="00884A81" w:rsidRPr="00884A81" w:rsidRDefault="00884A81" w:rsidP="00884A81">
      <w:pPr>
        <w:spacing w:after="0" w:line="259" w:lineRule="auto"/>
        <w:rPr>
          <w:rFonts w:ascii="Garamond" w:hAnsi="Garamond"/>
          <w:sz w:val="14"/>
          <w:szCs w:val="14"/>
        </w:rPr>
      </w:pPr>
      <w:r w:rsidRPr="00884A81">
        <w:rPr>
          <w:rFonts w:ascii="Garamond" w:hAnsi="Garamond"/>
          <w:sz w:val="14"/>
          <w:szCs w:val="14"/>
        </w:rPr>
        <w:t>When you’re covered by a</w:t>
      </w:r>
      <w:r w:rsidRPr="00884A81">
        <w:rPr>
          <w:rFonts w:ascii="Times New Roman" w:hAnsi="Times New Roman" w:cs="Times New Roman"/>
          <w:sz w:val="14"/>
          <w:szCs w:val="14"/>
        </w:rPr>
        <w:t> </w:t>
      </w:r>
      <w:hyperlink r:id="rId7" w:tgtFrame="_blank" w:history="1">
        <w:r w:rsidRPr="00884A81">
          <w:rPr>
            <w:rStyle w:val="Hyperlink"/>
            <w:rFonts w:ascii="Garamond" w:hAnsi="Garamond"/>
            <w:sz w:val="14"/>
            <w:szCs w:val="14"/>
          </w:rPr>
          <w:t>TRICARE health plan</w:t>
        </w:r>
      </w:hyperlink>
      <w:r w:rsidRPr="00884A81">
        <w:rPr>
          <w:rFonts w:ascii="Garamond" w:hAnsi="Garamond"/>
          <w:sz w:val="14"/>
          <w:szCs w:val="14"/>
        </w:rPr>
        <w:t>, you also have pharmacy coverage through the</w:t>
      </w:r>
      <w:r w:rsidRPr="00884A81">
        <w:rPr>
          <w:rFonts w:ascii="Times New Roman" w:hAnsi="Times New Roman" w:cs="Times New Roman"/>
          <w:sz w:val="14"/>
          <w:szCs w:val="14"/>
        </w:rPr>
        <w:t> </w:t>
      </w:r>
      <w:hyperlink r:id="rId8" w:tgtFrame="_blank" w:history="1">
        <w:r w:rsidRPr="00884A81">
          <w:rPr>
            <w:rStyle w:val="Hyperlink"/>
            <w:rFonts w:ascii="Garamond" w:hAnsi="Garamond"/>
            <w:sz w:val="14"/>
            <w:szCs w:val="14"/>
          </w:rPr>
          <w:t>TRICARE Pharmacy Program</w:t>
        </w:r>
      </w:hyperlink>
      <w:r w:rsidRPr="00884A81">
        <w:rPr>
          <w:rFonts w:ascii="Garamond" w:hAnsi="Garamond"/>
          <w:sz w:val="14"/>
          <w:szCs w:val="14"/>
        </w:rPr>
        <w:t xml:space="preserve">. And as with any TRICARE plan, it’s important to know how this program works. You should familiarize yourself with the term </w:t>
      </w:r>
      <w:hyperlink r:id="rId9" w:tgtFrame="_blank" w:history="1">
        <w:r w:rsidRPr="00884A81">
          <w:rPr>
            <w:rStyle w:val="Hyperlink"/>
            <w:rFonts w:ascii="Garamond" w:hAnsi="Garamond"/>
            <w:sz w:val="14"/>
            <w:szCs w:val="14"/>
          </w:rPr>
          <w:t>prior authorization</w:t>
        </w:r>
      </w:hyperlink>
      <w:r w:rsidRPr="00884A81">
        <w:rPr>
          <w:rFonts w:ascii="Garamond" w:hAnsi="Garamond"/>
          <w:sz w:val="14"/>
          <w:szCs w:val="14"/>
        </w:rPr>
        <w:t xml:space="preserve"> to help you make the most of your pharmacy benefit. Keep in mind, prior authorization isn’t the same as</w:t>
      </w:r>
      <w:r w:rsidRPr="00884A81">
        <w:rPr>
          <w:rFonts w:ascii="Times New Roman" w:hAnsi="Times New Roman" w:cs="Times New Roman"/>
          <w:sz w:val="14"/>
          <w:szCs w:val="14"/>
        </w:rPr>
        <w:t> </w:t>
      </w:r>
      <w:hyperlink r:id="rId10" w:tgtFrame="_blank" w:history="1">
        <w:r w:rsidRPr="00884A81">
          <w:rPr>
            <w:rStyle w:val="Hyperlink"/>
            <w:rFonts w:ascii="Garamond" w:hAnsi="Garamond"/>
            <w:sz w:val="14"/>
            <w:szCs w:val="14"/>
          </w:rPr>
          <w:t>pre-authorization</w:t>
        </w:r>
      </w:hyperlink>
      <w:r w:rsidRPr="00884A81">
        <w:rPr>
          <w:rFonts w:ascii="Garamond" w:hAnsi="Garamond"/>
          <w:sz w:val="14"/>
          <w:szCs w:val="14"/>
        </w:rPr>
        <w:t>. Pre-authorization is the process that TRICARE uses to approve medical care. </w:t>
      </w:r>
    </w:p>
    <w:p w14:paraId="2385A770" w14:textId="438D5345" w:rsidR="0062370C" w:rsidRPr="0022175C" w:rsidRDefault="0062370C" w:rsidP="0022175C">
      <w:pPr>
        <w:spacing w:after="0" w:line="259" w:lineRule="auto"/>
        <w:rPr>
          <w:rFonts w:ascii="Garamond" w:hAnsi="Garamond"/>
          <w:sz w:val="14"/>
          <w:szCs w:val="14"/>
        </w:rPr>
      </w:pPr>
    </w:p>
    <w:p w14:paraId="2BE254D0" w14:textId="77777777" w:rsidR="0022175C" w:rsidRPr="0022175C" w:rsidRDefault="0022175C" w:rsidP="0022175C">
      <w:pPr>
        <w:spacing w:after="0" w:line="259" w:lineRule="auto"/>
        <w:rPr>
          <w:rFonts w:ascii="Garamond" w:hAnsi="Garamond"/>
          <w:sz w:val="14"/>
          <w:szCs w:val="14"/>
        </w:rPr>
      </w:pPr>
      <w:r w:rsidRPr="0022175C">
        <w:rPr>
          <w:rFonts w:ascii="Garamond" w:hAnsi="Garamond"/>
          <w:b/>
          <w:bCs/>
          <w:sz w:val="14"/>
          <w:szCs w:val="14"/>
        </w:rPr>
        <w:t>Note:</w:t>
      </w:r>
      <w:r w:rsidRPr="0022175C">
        <w:rPr>
          <w:rFonts w:ascii="Garamond" w:hAnsi="Garamond"/>
          <w:sz w:val="14"/>
          <w:szCs w:val="14"/>
        </w:rPr>
        <w:t> If you have coverage through the </w:t>
      </w:r>
      <w:hyperlink r:id="rId11" w:history="1">
        <w:r w:rsidRPr="0022175C">
          <w:rPr>
            <w:rStyle w:val="Hyperlink"/>
            <w:rFonts w:ascii="Garamond" w:hAnsi="Garamond"/>
            <w:sz w:val="14"/>
            <w:szCs w:val="14"/>
          </w:rPr>
          <w:t>US Family Health Plan</w:t>
        </w:r>
      </w:hyperlink>
      <w:r w:rsidRPr="0022175C">
        <w:rPr>
          <w:rFonts w:ascii="Garamond" w:hAnsi="Garamond"/>
          <w:sz w:val="14"/>
          <w:szCs w:val="14"/>
        </w:rPr>
        <w:t>, you don’t have coverage through the TRICARE Pharmacy Program. The USFHP has its own pharmacy plan.</w:t>
      </w:r>
    </w:p>
    <w:p w14:paraId="537601E2" w14:textId="77777777" w:rsidR="0022175C" w:rsidRPr="0062370C" w:rsidRDefault="0022175C" w:rsidP="0022175C">
      <w:pPr>
        <w:spacing w:after="0" w:line="259" w:lineRule="auto"/>
        <w:rPr>
          <w:rFonts w:ascii="Garamond" w:hAnsi="Garamond"/>
          <w:b/>
          <w:bCs/>
          <w:sz w:val="14"/>
          <w:szCs w:val="14"/>
        </w:rPr>
      </w:pPr>
    </w:p>
    <w:p w14:paraId="24DC83EF" w14:textId="3F0239F3" w:rsidR="0022175C" w:rsidRPr="0022175C" w:rsidRDefault="0022175C" w:rsidP="0022175C">
      <w:pPr>
        <w:spacing w:after="0" w:line="259" w:lineRule="auto"/>
        <w:rPr>
          <w:rFonts w:ascii="Garamond" w:hAnsi="Garamond"/>
          <w:b/>
          <w:bCs/>
          <w:sz w:val="14"/>
          <w:szCs w:val="14"/>
        </w:rPr>
      </w:pPr>
      <w:r w:rsidRPr="0022175C">
        <w:rPr>
          <w:rFonts w:ascii="Garamond" w:hAnsi="Garamond"/>
          <w:b/>
          <w:bCs/>
          <w:sz w:val="14"/>
          <w:szCs w:val="14"/>
        </w:rPr>
        <w:t>Q: How does TRICARE determine which drugs require prior authorization?</w:t>
      </w:r>
    </w:p>
    <w:p w14:paraId="3ABE2F88" w14:textId="77777777" w:rsidR="0022175C" w:rsidRPr="0022175C" w:rsidRDefault="0022175C" w:rsidP="0022175C">
      <w:pPr>
        <w:spacing w:after="0" w:line="259" w:lineRule="auto"/>
        <w:rPr>
          <w:rFonts w:ascii="Garamond" w:hAnsi="Garamond"/>
          <w:sz w:val="14"/>
          <w:szCs w:val="14"/>
        </w:rPr>
      </w:pPr>
      <w:r w:rsidRPr="0022175C">
        <w:rPr>
          <w:rFonts w:ascii="Garamond" w:hAnsi="Garamond"/>
          <w:b/>
          <w:bCs/>
          <w:sz w:val="14"/>
          <w:szCs w:val="14"/>
        </w:rPr>
        <w:t>A:</w:t>
      </w:r>
      <w:r w:rsidRPr="0022175C">
        <w:rPr>
          <w:rFonts w:ascii="Garamond" w:hAnsi="Garamond"/>
          <w:sz w:val="14"/>
          <w:szCs w:val="14"/>
        </w:rPr>
        <w:t> The </w:t>
      </w:r>
      <w:hyperlink r:id="rId12" w:tgtFrame="_blank" w:history="1">
        <w:r w:rsidRPr="0022175C">
          <w:rPr>
            <w:rStyle w:val="Hyperlink"/>
            <w:rFonts w:ascii="Garamond" w:hAnsi="Garamond"/>
            <w:sz w:val="14"/>
            <w:szCs w:val="14"/>
          </w:rPr>
          <w:t>Department of Defense Pharmacy and Therapeutics Committee</w:t>
        </w:r>
      </w:hyperlink>
      <w:r w:rsidRPr="0022175C">
        <w:rPr>
          <w:rFonts w:ascii="Garamond" w:hAnsi="Garamond"/>
          <w:sz w:val="14"/>
          <w:szCs w:val="14"/>
        </w:rPr>
        <w:t> meets quarterly to determine which drugs:</w:t>
      </w:r>
    </w:p>
    <w:p w14:paraId="2D3247BA" w14:textId="77777777" w:rsidR="0022175C" w:rsidRPr="0022175C" w:rsidRDefault="0022175C" w:rsidP="0022175C">
      <w:pPr>
        <w:numPr>
          <w:ilvl w:val="0"/>
          <w:numId w:val="1"/>
        </w:numPr>
        <w:spacing w:after="0" w:line="259" w:lineRule="auto"/>
        <w:rPr>
          <w:rFonts w:ascii="Garamond" w:hAnsi="Garamond"/>
          <w:sz w:val="14"/>
          <w:szCs w:val="14"/>
        </w:rPr>
      </w:pPr>
      <w:r w:rsidRPr="0022175C">
        <w:rPr>
          <w:rFonts w:ascii="Garamond" w:hAnsi="Garamond"/>
          <w:sz w:val="14"/>
          <w:szCs w:val="14"/>
        </w:rPr>
        <w:t>Are included in the TRICARE pharmacy benefit</w:t>
      </w:r>
    </w:p>
    <w:p w14:paraId="7CF683CE" w14:textId="77777777" w:rsidR="0022175C" w:rsidRPr="0022175C" w:rsidRDefault="0022175C" w:rsidP="0022175C">
      <w:pPr>
        <w:numPr>
          <w:ilvl w:val="0"/>
          <w:numId w:val="1"/>
        </w:numPr>
        <w:spacing w:after="0" w:line="259" w:lineRule="auto"/>
        <w:rPr>
          <w:rFonts w:ascii="Garamond" w:hAnsi="Garamond"/>
          <w:sz w:val="14"/>
          <w:szCs w:val="14"/>
        </w:rPr>
      </w:pPr>
      <w:r w:rsidRPr="0022175C">
        <w:rPr>
          <w:rFonts w:ascii="Garamond" w:hAnsi="Garamond"/>
          <w:sz w:val="14"/>
          <w:szCs w:val="14"/>
        </w:rPr>
        <w:t>Identify those that require prior authorization</w:t>
      </w:r>
    </w:p>
    <w:p w14:paraId="182B82DB" w14:textId="77777777" w:rsidR="0022175C" w:rsidRPr="0062370C" w:rsidRDefault="0022175C" w:rsidP="0022175C">
      <w:pPr>
        <w:numPr>
          <w:ilvl w:val="0"/>
          <w:numId w:val="1"/>
        </w:numPr>
        <w:spacing w:after="0" w:line="259" w:lineRule="auto"/>
        <w:rPr>
          <w:rFonts w:ascii="Garamond" w:hAnsi="Garamond"/>
          <w:sz w:val="14"/>
          <w:szCs w:val="14"/>
        </w:rPr>
      </w:pPr>
      <w:r w:rsidRPr="0022175C">
        <w:rPr>
          <w:rFonts w:ascii="Garamond" w:hAnsi="Garamond"/>
          <w:sz w:val="14"/>
          <w:szCs w:val="14"/>
        </w:rPr>
        <w:t>Establish any additional coverage rules that may apply</w:t>
      </w:r>
    </w:p>
    <w:p w14:paraId="4FF0B0A3" w14:textId="77777777" w:rsidR="0022175C" w:rsidRPr="0022175C" w:rsidRDefault="0022175C" w:rsidP="0022175C">
      <w:pPr>
        <w:spacing w:after="0" w:line="259" w:lineRule="auto"/>
        <w:ind w:left="720"/>
        <w:rPr>
          <w:rFonts w:ascii="Garamond" w:hAnsi="Garamond"/>
          <w:sz w:val="14"/>
          <w:szCs w:val="14"/>
        </w:rPr>
      </w:pPr>
    </w:p>
    <w:p w14:paraId="5847B957" w14:textId="77777777" w:rsidR="0022175C" w:rsidRPr="0022175C" w:rsidRDefault="0022175C" w:rsidP="0022175C">
      <w:pPr>
        <w:spacing w:after="0" w:line="259" w:lineRule="auto"/>
        <w:rPr>
          <w:rFonts w:ascii="Garamond" w:hAnsi="Garamond"/>
          <w:sz w:val="14"/>
          <w:szCs w:val="14"/>
        </w:rPr>
      </w:pPr>
      <w:r w:rsidRPr="0022175C">
        <w:rPr>
          <w:rFonts w:ascii="Garamond" w:hAnsi="Garamond"/>
          <w:sz w:val="14"/>
          <w:szCs w:val="14"/>
        </w:rPr>
        <w:t>Drugs that require prior authorization may include but aren’t limited to:</w:t>
      </w:r>
    </w:p>
    <w:p w14:paraId="529E17C5" w14:textId="77777777" w:rsidR="0022175C" w:rsidRPr="0022175C" w:rsidRDefault="0022175C" w:rsidP="0022175C">
      <w:pPr>
        <w:numPr>
          <w:ilvl w:val="0"/>
          <w:numId w:val="2"/>
        </w:numPr>
        <w:spacing w:after="0" w:line="259" w:lineRule="auto"/>
        <w:rPr>
          <w:rFonts w:ascii="Garamond" w:hAnsi="Garamond"/>
          <w:sz w:val="14"/>
          <w:szCs w:val="14"/>
        </w:rPr>
      </w:pPr>
      <w:r w:rsidRPr="0022175C">
        <w:rPr>
          <w:rFonts w:ascii="Garamond" w:hAnsi="Garamond"/>
          <w:sz w:val="14"/>
          <w:szCs w:val="14"/>
        </w:rPr>
        <w:t>Prescription drugs specified by the DOD P&amp;T Committee based on clinical appropriateness and widely accepted clinical guidelines</w:t>
      </w:r>
    </w:p>
    <w:p w14:paraId="1602C041" w14:textId="77777777" w:rsidR="0022175C" w:rsidRPr="0022175C" w:rsidRDefault="0022175C" w:rsidP="0022175C">
      <w:pPr>
        <w:numPr>
          <w:ilvl w:val="0"/>
          <w:numId w:val="2"/>
        </w:numPr>
        <w:spacing w:after="0" w:line="259" w:lineRule="auto"/>
        <w:rPr>
          <w:rFonts w:ascii="Garamond" w:hAnsi="Garamond"/>
          <w:sz w:val="14"/>
          <w:szCs w:val="14"/>
        </w:rPr>
      </w:pPr>
      <w:r w:rsidRPr="0022175C">
        <w:rPr>
          <w:rFonts w:ascii="Garamond" w:hAnsi="Garamond"/>
          <w:sz w:val="14"/>
          <w:szCs w:val="14"/>
        </w:rPr>
        <w:t>Brand-name drugs that have generic equivalents</w:t>
      </w:r>
    </w:p>
    <w:p w14:paraId="02962F5F" w14:textId="77777777" w:rsidR="0022175C" w:rsidRPr="0022175C" w:rsidRDefault="0022175C" w:rsidP="0022175C">
      <w:pPr>
        <w:numPr>
          <w:ilvl w:val="0"/>
          <w:numId w:val="2"/>
        </w:numPr>
        <w:spacing w:after="0" w:line="259" w:lineRule="auto"/>
        <w:rPr>
          <w:rFonts w:ascii="Garamond" w:hAnsi="Garamond"/>
          <w:sz w:val="14"/>
          <w:szCs w:val="14"/>
        </w:rPr>
      </w:pPr>
      <w:r w:rsidRPr="0022175C">
        <w:rPr>
          <w:rFonts w:ascii="Garamond" w:hAnsi="Garamond"/>
          <w:sz w:val="14"/>
          <w:szCs w:val="14"/>
        </w:rPr>
        <w:t>Drugs subject to age or sex limitations</w:t>
      </w:r>
    </w:p>
    <w:p w14:paraId="56A3F400" w14:textId="77777777" w:rsidR="0022175C" w:rsidRPr="0062370C" w:rsidRDefault="0022175C" w:rsidP="0022175C">
      <w:pPr>
        <w:numPr>
          <w:ilvl w:val="0"/>
          <w:numId w:val="2"/>
        </w:numPr>
        <w:spacing w:after="0" w:line="259" w:lineRule="auto"/>
        <w:rPr>
          <w:rFonts w:ascii="Garamond" w:hAnsi="Garamond"/>
          <w:sz w:val="14"/>
          <w:szCs w:val="14"/>
        </w:rPr>
      </w:pPr>
      <w:r w:rsidRPr="0022175C">
        <w:rPr>
          <w:rFonts w:ascii="Garamond" w:hAnsi="Garamond"/>
          <w:sz w:val="14"/>
          <w:szCs w:val="14"/>
        </w:rPr>
        <w:t>Drugs prescribed in quantities that exceed standard limits</w:t>
      </w:r>
    </w:p>
    <w:p w14:paraId="4527F01B" w14:textId="77777777" w:rsidR="0022175C" w:rsidRPr="0022175C" w:rsidRDefault="0022175C" w:rsidP="0022175C">
      <w:pPr>
        <w:spacing w:after="0" w:line="259" w:lineRule="auto"/>
        <w:ind w:left="720"/>
        <w:rPr>
          <w:rFonts w:ascii="Garamond" w:hAnsi="Garamond"/>
          <w:sz w:val="14"/>
          <w:szCs w:val="14"/>
        </w:rPr>
      </w:pPr>
    </w:p>
    <w:p w14:paraId="6AD48F72" w14:textId="77777777" w:rsidR="0022175C" w:rsidRPr="0022175C" w:rsidRDefault="0022175C" w:rsidP="0022175C">
      <w:pPr>
        <w:spacing w:after="0" w:line="259" w:lineRule="auto"/>
        <w:rPr>
          <w:rFonts w:ascii="Garamond" w:hAnsi="Garamond"/>
          <w:b/>
          <w:bCs/>
          <w:sz w:val="14"/>
          <w:szCs w:val="14"/>
        </w:rPr>
      </w:pPr>
      <w:r w:rsidRPr="0022175C">
        <w:rPr>
          <w:rFonts w:ascii="Garamond" w:hAnsi="Garamond"/>
          <w:b/>
          <w:bCs/>
          <w:sz w:val="14"/>
          <w:szCs w:val="14"/>
        </w:rPr>
        <w:t>Q: What does prior authorization mean for me?</w:t>
      </w:r>
    </w:p>
    <w:p w14:paraId="486B2EA7" w14:textId="52E9959B" w:rsidR="0022175C" w:rsidRPr="0062370C" w:rsidRDefault="0022175C" w:rsidP="0022175C">
      <w:pPr>
        <w:spacing w:after="0" w:line="259" w:lineRule="auto"/>
        <w:rPr>
          <w:rFonts w:ascii="Garamond" w:hAnsi="Garamond"/>
          <w:sz w:val="14"/>
          <w:szCs w:val="14"/>
        </w:rPr>
      </w:pPr>
      <w:r w:rsidRPr="0022175C">
        <w:rPr>
          <w:rFonts w:ascii="Garamond" w:hAnsi="Garamond"/>
          <w:b/>
          <w:bCs/>
          <w:sz w:val="14"/>
          <w:szCs w:val="14"/>
        </w:rPr>
        <w:t>A: </w:t>
      </w:r>
      <w:r w:rsidRPr="0022175C">
        <w:rPr>
          <w:rFonts w:ascii="Garamond" w:hAnsi="Garamond"/>
          <w:sz w:val="14"/>
          <w:szCs w:val="14"/>
        </w:rPr>
        <w:t>Before filling certain prescriptions, </w:t>
      </w:r>
      <w:hyperlink r:id="rId13" w:tgtFrame="_blank" w:history="1">
        <w:r w:rsidRPr="0022175C">
          <w:rPr>
            <w:rStyle w:val="Hyperlink"/>
            <w:rFonts w:ascii="Garamond" w:hAnsi="Garamond"/>
            <w:sz w:val="14"/>
            <w:szCs w:val="14"/>
          </w:rPr>
          <w:t>Express Scripts</w:t>
        </w:r>
      </w:hyperlink>
      <w:r w:rsidRPr="0022175C">
        <w:rPr>
          <w:rFonts w:ascii="Garamond" w:hAnsi="Garamond"/>
          <w:sz w:val="14"/>
          <w:szCs w:val="14"/>
        </w:rPr>
        <w:t>, the TRICARE Pharmacy Program contractor, reviews and authorizes the medication based on criteria developed by the DOD P&amp;T Committee. Once approved, your pharmacist can fill the prescription.</w:t>
      </w:r>
    </w:p>
    <w:p w14:paraId="0D0ABC42" w14:textId="77777777" w:rsidR="0022175C" w:rsidRPr="0022175C" w:rsidRDefault="0022175C" w:rsidP="0022175C">
      <w:pPr>
        <w:spacing w:after="0" w:line="259" w:lineRule="auto"/>
        <w:rPr>
          <w:rFonts w:ascii="Garamond" w:hAnsi="Garamond"/>
          <w:sz w:val="14"/>
          <w:szCs w:val="14"/>
        </w:rPr>
      </w:pPr>
    </w:p>
    <w:p w14:paraId="6C11C248" w14:textId="77777777" w:rsidR="0022175C" w:rsidRPr="0022175C" w:rsidRDefault="0022175C" w:rsidP="0022175C">
      <w:pPr>
        <w:spacing w:after="0" w:line="259" w:lineRule="auto"/>
        <w:rPr>
          <w:rFonts w:ascii="Garamond" w:hAnsi="Garamond"/>
          <w:b/>
          <w:bCs/>
          <w:sz w:val="14"/>
          <w:szCs w:val="14"/>
        </w:rPr>
      </w:pPr>
      <w:r w:rsidRPr="0022175C">
        <w:rPr>
          <w:rFonts w:ascii="Garamond" w:hAnsi="Garamond"/>
          <w:b/>
          <w:bCs/>
          <w:sz w:val="14"/>
          <w:szCs w:val="14"/>
        </w:rPr>
        <w:t>Q: How do I know if my prescription needs prior authorization?</w:t>
      </w:r>
    </w:p>
    <w:p w14:paraId="005744F6" w14:textId="77777777" w:rsidR="0022175C" w:rsidRPr="0022175C" w:rsidRDefault="0022175C" w:rsidP="0022175C">
      <w:pPr>
        <w:spacing w:after="0" w:line="259" w:lineRule="auto"/>
        <w:rPr>
          <w:rFonts w:ascii="Garamond" w:hAnsi="Garamond"/>
          <w:sz w:val="14"/>
          <w:szCs w:val="14"/>
        </w:rPr>
      </w:pPr>
      <w:r w:rsidRPr="0022175C">
        <w:rPr>
          <w:rFonts w:ascii="Garamond" w:hAnsi="Garamond"/>
          <w:b/>
          <w:bCs/>
          <w:sz w:val="14"/>
          <w:szCs w:val="14"/>
        </w:rPr>
        <w:t>A:</w:t>
      </w:r>
      <w:r w:rsidRPr="0022175C">
        <w:rPr>
          <w:rFonts w:ascii="Garamond" w:hAnsi="Garamond"/>
          <w:sz w:val="14"/>
          <w:szCs w:val="14"/>
        </w:rPr>
        <w:t> The </w:t>
      </w:r>
      <w:hyperlink r:id="rId14" w:anchor="/" w:tgtFrame="_blank" w:history="1">
        <w:r w:rsidRPr="0022175C">
          <w:rPr>
            <w:rStyle w:val="Hyperlink"/>
            <w:rFonts w:ascii="Garamond" w:hAnsi="Garamond"/>
            <w:sz w:val="14"/>
            <w:szCs w:val="14"/>
          </w:rPr>
          <w:t>TRICARE Formulary Search tool</w:t>
        </w:r>
      </w:hyperlink>
      <w:r w:rsidRPr="0022175C">
        <w:rPr>
          <w:rFonts w:ascii="Garamond" w:hAnsi="Garamond"/>
          <w:sz w:val="14"/>
          <w:szCs w:val="14"/>
        </w:rPr>
        <w:t> provides information about:</w:t>
      </w:r>
    </w:p>
    <w:p w14:paraId="2EFD4E23" w14:textId="77777777" w:rsidR="0022175C" w:rsidRPr="0022175C" w:rsidRDefault="0022175C" w:rsidP="0022175C">
      <w:pPr>
        <w:numPr>
          <w:ilvl w:val="0"/>
          <w:numId w:val="3"/>
        </w:numPr>
        <w:spacing w:after="0" w:line="259" w:lineRule="auto"/>
        <w:rPr>
          <w:rFonts w:ascii="Garamond" w:hAnsi="Garamond"/>
          <w:sz w:val="14"/>
          <w:szCs w:val="14"/>
        </w:rPr>
      </w:pPr>
      <w:r w:rsidRPr="0022175C">
        <w:rPr>
          <w:rFonts w:ascii="Garamond" w:hAnsi="Garamond"/>
          <w:sz w:val="14"/>
          <w:szCs w:val="14"/>
        </w:rPr>
        <w:t>Drugs that require prior authorization or have quantity limits</w:t>
      </w:r>
    </w:p>
    <w:p w14:paraId="46AB541B" w14:textId="77777777" w:rsidR="0022175C" w:rsidRPr="0022175C" w:rsidRDefault="0022175C" w:rsidP="0022175C">
      <w:pPr>
        <w:numPr>
          <w:ilvl w:val="0"/>
          <w:numId w:val="3"/>
        </w:numPr>
        <w:spacing w:after="0" w:line="259" w:lineRule="auto"/>
        <w:rPr>
          <w:rFonts w:ascii="Garamond" w:hAnsi="Garamond"/>
          <w:sz w:val="14"/>
          <w:szCs w:val="14"/>
        </w:rPr>
      </w:pPr>
      <w:r w:rsidRPr="0022175C">
        <w:rPr>
          <w:rFonts w:ascii="Garamond" w:hAnsi="Garamond"/>
          <w:sz w:val="14"/>
          <w:szCs w:val="14"/>
        </w:rPr>
        <w:t>Coverage and copayments</w:t>
      </w:r>
    </w:p>
    <w:p w14:paraId="35C66B4C" w14:textId="77777777" w:rsidR="0022175C" w:rsidRPr="0022175C" w:rsidRDefault="0022175C" w:rsidP="0022175C">
      <w:pPr>
        <w:numPr>
          <w:ilvl w:val="0"/>
          <w:numId w:val="3"/>
        </w:numPr>
        <w:spacing w:after="0" w:line="259" w:lineRule="auto"/>
        <w:rPr>
          <w:rFonts w:ascii="Garamond" w:hAnsi="Garamond"/>
          <w:sz w:val="14"/>
          <w:szCs w:val="14"/>
        </w:rPr>
      </w:pPr>
      <w:r w:rsidRPr="0022175C">
        <w:rPr>
          <w:rFonts w:ascii="Garamond" w:hAnsi="Garamond"/>
          <w:sz w:val="14"/>
          <w:szCs w:val="14"/>
        </w:rPr>
        <w:t>Pharmacy forms</w:t>
      </w:r>
    </w:p>
    <w:p w14:paraId="180F1422" w14:textId="77777777" w:rsidR="0022175C" w:rsidRPr="0022175C" w:rsidRDefault="0022175C" w:rsidP="0022175C">
      <w:pPr>
        <w:numPr>
          <w:ilvl w:val="0"/>
          <w:numId w:val="3"/>
        </w:numPr>
        <w:spacing w:after="0" w:line="259" w:lineRule="auto"/>
        <w:rPr>
          <w:rFonts w:ascii="Garamond" w:hAnsi="Garamond"/>
          <w:sz w:val="14"/>
          <w:szCs w:val="14"/>
        </w:rPr>
      </w:pPr>
      <w:r w:rsidRPr="0022175C">
        <w:rPr>
          <w:rFonts w:ascii="Garamond" w:hAnsi="Garamond"/>
          <w:sz w:val="14"/>
          <w:szCs w:val="14"/>
        </w:rPr>
        <w:t>Options for filling prescriptions</w:t>
      </w:r>
    </w:p>
    <w:p w14:paraId="158427CF" w14:textId="77777777" w:rsidR="0022175C" w:rsidRPr="0062370C" w:rsidRDefault="0022175C" w:rsidP="0022175C">
      <w:pPr>
        <w:numPr>
          <w:ilvl w:val="0"/>
          <w:numId w:val="3"/>
        </w:numPr>
        <w:spacing w:after="0" w:line="259" w:lineRule="auto"/>
        <w:rPr>
          <w:rFonts w:ascii="Garamond" w:hAnsi="Garamond"/>
          <w:sz w:val="14"/>
          <w:szCs w:val="14"/>
        </w:rPr>
      </w:pPr>
      <w:r w:rsidRPr="0022175C">
        <w:rPr>
          <w:rFonts w:ascii="Garamond" w:hAnsi="Garamond"/>
          <w:sz w:val="14"/>
          <w:szCs w:val="14"/>
        </w:rPr>
        <w:t>Common drug interactions</w:t>
      </w:r>
    </w:p>
    <w:p w14:paraId="3E4C6467" w14:textId="77777777" w:rsidR="0022175C" w:rsidRPr="0022175C" w:rsidRDefault="0022175C" w:rsidP="0022175C">
      <w:pPr>
        <w:spacing w:after="0" w:line="259" w:lineRule="auto"/>
        <w:ind w:left="720"/>
        <w:rPr>
          <w:rFonts w:ascii="Garamond" w:hAnsi="Garamond"/>
          <w:sz w:val="14"/>
          <w:szCs w:val="14"/>
        </w:rPr>
      </w:pPr>
    </w:p>
    <w:p w14:paraId="09F7E04F" w14:textId="77777777" w:rsidR="0022175C" w:rsidRPr="0022175C" w:rsidRDefault="0022175C" w:rsidP="0022175C">
      <w:pPr>
        <w:spacing w:after="0" w:line="259" w:lineRule="auto"/>
        <w:rPr>
          <w:rFonts w:ascii="Garamond" w:hAnsi="Garamond"/>
          <w:sz w:val="14"/>
          <w:szCs w:val="14"/>
        </w:rPr>
      </w:pPr>
      <w:r w:rsidRPr="0022175C">
        <w:rPr>
          <w:rFonts w:ascii="Garamond" w:hAnsi="Garamond"/>
          <w:sz w:val="14"/>
          <w:szCs w:val="14"/>
        </w:rPr>
        <w:t>To find out if your medication requires prior authorization, follow these steps:</w:t>
      </w:r>
    </w:p>
    <w:p w14:paraId="0564DB58" w14:textId="77777777" w:rsidR="0022175C" w:rsidRPr="0022175C" w:rsidRDefault="0022175C" w:rsidP="0022175C">
      <w:pPr>
        <w:numPr>
          <w:ilvl w:val="0"/>
          <w:numId w:val="4"/>
        </w:numPr>
        <w:spacing w:after="0" w:line="259" w:lineRule="auto"/>
        <w:rPr>
          <w:rFonts w:ascii="Garamond" w:hAnsi="Garamond"/>
          <w:sz w:val="14"/>
          <w:szCs w:val="14"/>
        </w:rPr>
      </w:pPr>
      <w:r w:rsidRPr="0022175C">
        <w:rPr>
          <w:rFonts w:ascii="Garamond" w:hAnsi="Garamond"/>
          <w:sz w:val="14"/>
          <w:szCs w:val="14"/>
        </w:rPr>
        <w:t>Use the TRICARE Formulary Search tool to locate your medication.</w:t>
      </w:r>
    </w:p>
    <w:p w14:paraId="093F6BA1" w14:textId="77777777" w:rsidR="0022175C" w:rsidRPr="0022175C" w:rsidRDefault="0022175C" w:rsidP="0022175C">
      <w:pPr>
        <w:numPr>
          <w:ilvl w:val="0"/>
          <w:numId w:val="4"/>
        </w:numPr>
        <w:spacing w:after="0" w:line="259" w:lineRule="auto"/>
        <w:rPr>
          <w:rFonts w:ascii="Garamond" w:hAnsi="Garamond"/>
          <w:sz w:val="14"/>
          <w:szCs w:val="14"/>
        </w:rPr>
      </w:pPr>
      <w:r w:rsidRPr="0022175C">
        <w:rPr>
          <w:rFonts w:ascii="Garamond" w:hAnsi="Garamond"/>
          <w:sz w:val="14"/>
          <w:szCs w:val="14"/>
        </w:rPr>
        <w:t>When searching, make sure to include your biological sex and age.</w:t>
      </w:r>
    </w:p>
    <w:p w14:paraId="6110BCDA" w14:textId="77777777" w:rsidR="0022175C" w:rsidRPr="0022175C" w:rsidRDefault="0022175C" w:rsidP="0022175C">
      <w:pPr>
        <w:numPr>
          <w:ilvl w:val="0"/>
          <w:numId w:val="4"/>
        </w:numPr>
        <w:spacing w:after="0" w:line="259" w:lineRule="auto"/>
        <w:rPr>
          <w:rFonts w:ascii="Garamond" w:hAnsi="Garamond"/>
          <w:sz w:val="14"/>
          <w:szCs w:val="14"/>
        </w:rPr>
      </w:pPr>
      <w:r w:rsidRPr="0022175C">
        <w:rPr>
          <w:rFonts w:ascii="Garamond" w:hAnsi="Garamond"/>
          <w:sz w:val="14"/>
          <w:szCs w:val="14"/>
        </w:rPr>
        <w:t>Download and print your drug’s prior authorization form.</w:t>
      </w:r>
    </w:p>
    <w:p w14:paraId="5A29EE54" w14:textId="77777777" w:rsidR="0022175C" w:rsidRPr="0062370C" w:rsidRDefault="0022175C" w:rsidP="0022175C">
      <w:pPr>
        <w:numPr>
          <w:ilvl w:val="0"/>
          <w:numId w:val="4"/>
        </w:numPr>
        <w:spacing w:after="0" w:line="259" w:lineRule="auto"/>
        <w:rPr>
          <w:rFonts w:ascii="Garamond" w:hAnsi="Garamond"/>
          <w:sz w:val="14"/>
          <w:szCs w:val="14"/>
        </w:rPr>
      </w:pPr>
      <w:r w:rsidRPr="0022175C">
        <w:rPr>
          <w:rFonts w:ascii="Garamond" w:hAnsi="Garamond"/>
          <w:sz w:val="14"/>
          <w:szCs w:val="14"/>
        </w:rPr>
        <w:t>Give the form to your provider to complete and send back to Express Scripts. They can submit prior authorizations via mail, phone call, or fax. </w:t>
      </w:r>
    </w:p>
    <w:p w14:paraId="138038F6" w14:textId="77777777" w:rsidR="0022175C" w:rsidRPr="0022175C" w:rsidRDefault="0022175C" w:rsidP="0022175C">
      <w:pPr>
        <w:spacing w:after="0" w:line="259" w:lineRule="auto"/>
        <w:ind w:left="720"/>
        <w:rPr>
          <w:rFonts w:ascii="Garamond" w:hAnsi="Garamond"/>
          <w:sz w:val="14"/>
          <w:szCs w:val="14"/>
        </w:rPr>
      </w:pPr>
    </w:p>
    <w:p w14:paraId="15A90561" w14:textId="77777777" w:rsidR="0022175C" w:rsidRPr="0022175C" w:rsidRDefault="0022175C" w:rsidP="0022175C">
      <w:pPr>
        <w:spacing w:after="0" w:line="259" w:lineRule="auto"/>
        <w:rPr>
          <w:rFonts w:ascii="Garamond" w:hAnsi="Garamond"/>
          <w:b/>
          <w:bCs/>
          <w:sz w:val="14"/>
          <w:szCs w:val="14"/>
        </w:rPr>
      </w:pPr>
      <w:r w:rsidRPr="0022175C">
        <w:rPr>
          <w:rFonts w:ascii="Garamond" w:hAnsi="Garamond"/>
          <w:b/>
          <w:bCs/>
          <w:sz w:val="14"/>
          <w:szCs w:val="14"/>
        </w:rPr>
        <w:t>Q: What’s an electronic prior authorization?</w:t>
      </w:r>
    </w:p>
    <w:p w14:paraId="10400D31" w14:textId="77777777" w:rsidR="0022175C" w:rsidRPr="0022175C" w:rsidRDefault="0022175C" w:rsidP="0022175C">
      <w:pPr>
        <w:spacing w:after="0" w:line="259" w:lineRule="auto"/>
        <w:rPr>
          <w:rFonts w:ascii="Garamond" w:hAnsi="Garamond"/>
          <w:sz w:val="14"/>
          <w:szCs w:val="14"/>
        </w:rPr>
      </w:pPr>
      <w:r w:rsidRPr="0022175C">
        <w:rPr>
          <w:rFonts w:ascii="Garamond" w:hAnsi="Garamond"/>
          <w:b/>
          <w:bCs/>
          <w:sz w:val="14"/>
          <w:szCs w:val="14"/>
        </w:rPr>
        <w:t>A: </w:t>
      </w:r>
      <w:r w:rsidRPr="0022175C">
        <w:rPr>
          <w:rFonts w:ascii="Garamond" w:hAnsi="Garamond"/>
          <w:sz w:val="14"/>
          <w:szCs w:val="14"/>
        </w:rPr>
        <w:t xml:space="preserve">An electronic prior authorization, or </w:t>
      </w:r>
      <w:proofErr w:type="spellStart"/>
      <w:r w:rsidRPr="0022175C">
        <w:rPr>
          <w:rFonts w:ascii="Garamond" w:hAnsi="Garamond"/>
          <w:sz w:val="14"/>
          <w:szCs w:val="14"/>
        </w:rPr>
        <w:t>ePA</w:t>
      </w:r>
      <w:proofErr w:type="spellEnd"/>
      <w:r w:rsidRPr="0022175C">
        <w:rPr>
          <w:rFonts w:ascii="Garamond" w:hAnsi="Garamond"/>
          <w:sz w:val="14"/>
          <w:szCs w:val="14"/>
        </w:rPr>
        <w:t>, is a simple, secure way for your provider to submit prior authorization requests. They can electronically submit prior authorizations for prescriptions filled:</w:t>
      </w:r>
    </w:p>
    <w:p w14:paraId="0446D810" w14:textId="77777777" w:rsidR="0022175C" w:rsidRPr="0022175C" w:rsidRDefault="0022175C" w:rsidP="0022175C">
      <w:pPr>
        <w:numPr>
          <w:ilvl w:val="0"/>
          <w:numId w:val="5"/>
        </w:numPr>
        <w:spacing w:after="0" w:line="259" w:lineRule="auto"/>
        <w:rPr>
          <w:rFonts w:ascii="Garamond" w:hAnsi="Garamond"/>
          <w:sz w:val="14"/>
          <w:szCs w:val="14"/>
        </w:rPr>
      </w:pPr>
      <w:r w:rsidRPr="0022175C">
        <w:rPr>
          <w:rFonts w:ascii="Garamond" w:hAnsi="Garamond"/>
          <w:sz w:val="14"/>
          <w:szCs w:val="14"/>
        </w:rPr>
        <w:t>At a </w:t>
      </w:r>
      <w:hyperlink r:id="rId15" w:history="1">
        <w:r w:rsidRPr="0022175C">
          <w:rPr>
            <w:rStyle w:val="Hyperlink"/>
            <w:rFonts w:ascii="Garamond" w:hAnsi="Garamond"/>
            <w:sz w:val="14"/>
            <w:szCs w:val="14"/>
          </w:rPr>
          <w:t>military pharmacy</w:t>
        </w:r>
      </w:hyperlink>
    </w:p>
    <w:p w14:paraId="2CDB8753" w14:textId="77777777" w:rsidR="0022175C" w:rsidRPr="0022175C" w:rsidRDefault="0022175C" w:rsidP="0022175C">
      <w:pPr>
        <w:numPr>
          <w:ilvl w:val="0"/>
          <w:numId w:val="5"/>
        </w:numPr>
        <w:spacing w:after="0" w:line="259" w:lineRule="auto"/>
        <w:rPr>
          <w:rFonts w:ascii="Garamond" w:hAnsi="Garamond"/>
          <w:sz w:val="14"/>
          <w:szCs w:val="14"/>
        </w:rPr>
      </w:pPr>
      <w:r w:rsidRPr="0022175C">
        <w:rPr>
          <w:rFonts w:ascii="Garamond" w:hAnsi="Garamond"/>
          <w:sz w:val="14"/>
          <w:szCs w:val="14"/>
        </w:rPr>
        <w:t>Through </w:t>
      </w:r>
      <w:hyperlink r:id="rId16" w:history="1">
        <w:r w:rsidRPr="0022175C">
          <w:rPr>
            <w:rStyle w:val="Hyperlink"/>
            <w:rFonts w:ascii="Garamond" w:hAnsi="Garamond"/>
            <w:sz w:val="14"/>
            <w:szCs w:val="14"/>
          </w:rPr>
          <w:t>TRICARE Pharmacy Home Delivery</w:t>
        </w:r>
      </w:hyperlink>
    </w:p>
    <w:p w14:paraId="7CE346C0" w14:textId="77777777" w:rsidR="0022175C" w:rsidRPr="0062370C" w:rsidRDefault="0022175C" w:rsidP="0022175C">
      <w:pPr>
        <w:numPr>
          <w:ilvl w:val="0"/>
          <w:numId w:val="5"/>
        </w:numPr>
        <w:spacing w:after="0" w:line="259" w:lineRule="auto"/>
        <w:rPr>
          <w:rFonts w:ascii="Garamond" w:hAnsi="Garamond"/>
          <w:sz w:val="14"/>
          <w:szCs w:val="14"/>
        </w:rPr>
      </w:pPr>
      <w:r w:rsidRPr="0022175C">
        <w:rPr>
          <w:rFonts w:ascii="Garamond" w:hAnsi="Garamond"/>
          <w:sz w:val="14"/>
          <w:szCs w:val="14"/>
        </w:rPr>
        <w:t>At a </w:t>
      </w:r>
      <w:hyperlink r:id="rId17" w:history="1">
        <w:r w:rsidRPr="0022175C">
          <w:rPr>
            <w:rStyle w:val="Hyperlink"/>
            <w:rFonts w:ascii="Garamond" w:hAnsi="Garamond"/>
            <w:sz w:val="14"/>
            <w:szCs w:val="14"/>
          </w:rPr>
          <w:t>TRICARE retail network pharmacy</w:t>
        </w:r>
      </w:hyperlink>
    </w:p>
    <w:p w14:paraId="1A13A6D0" w14:textId="77777777" w:rsidR="0022175C" w:rsidRPr="0022175C" w:rsidRDefault="0022175C" w:rsidP="0022175C">
      <w:pPr>
        <w:spacing w:after="0" w:line="259" w:lineRule="auto"/>
        <w:ind w:left="720"/>
        <w:rPr>
          <w:rFonts w:ascii="Garamond" w:hAnsi="Garamond"/>
          <w:sz w:val="14"/>
          <w:szCs w:val="14"/>
        </w:rPr>
      </w:pPr>
    </w:p>
    <w:p w14:paraId="361E3E85" w14:textId="77777777" w:rsidR="0022175C" w:rsidRPr="0022175C" w:rsidRDefault="0022175C" w:rsidP="0022175C">
      <w:pPr>
        <w:spacing w:after="0" w:line="259" w:lineRule="auto"/>
        <w:rPr>
          <w:rFonts w:ascii="Garamond" w:hAnsi="Garamond"/>
          <w:b/>
          <w:bCs/>
          <w:sz w:val="14"/>
          <w:szCs w:val="14"/>
        </w:rPr>
      </w:pPr>
      <w:r w:rsidRPr="0022175C">
        <w:rPr>
          <w:rFonts w:ascii="Garamond" w:hAnsi="Garamond"/>
          <w:b/>
          <w:bCs/>
          <w:sz w:val="14"/>
          <w:szCs w:val="14"/>
        </w:rPr>
        <w:t>Q: How long does the traditional prior authorization process take?</w:t>
      </w:r>
    </w:p>
    <w:p w14:paraId="41513714" w14:textId="77777777" w:rsidR="0022175C" w:rsidRPr="0062370C" w:rsidRDefault="0022175C" w:rsidP="0022175C">
      <w:pPr>
        <w:spacing w:after="0" w:line="259" w:lineRule="auto"/>
        <w:rPr>
          <w:rFonts w:ascii="Garamond" w:hAnsi="Garamond"/>
          <w:sz w:val="14"/>
          <w:szCs w:val="14"/>
        </w:rPr>
      </w:pPr>
      <w:r w:rsidRPr="0022175C">
        <w:rPr>
          <w:rFonts w:ascii="Garamond" w:hAnsi="Garamond"/>
          <w:b/>
          <w:bCs/>
          <w:sz w:val="14"/>
          <w:szCs w:val="14"/>
        </w:rPr>
        <w:t>A:</w:t>
      </w:r>
      <w:r w:rsidRPr="0022175C">
        <w:rPr>
          <w:rFonts w:ascii="Garamond" w:hAnsi="Garamond"/>
          <w:sz w:val="14"/>
          <w:szCs w:val="14"/>
        </w:rPr>
        <w:t>  Prior authorization approval takes about 10 days after Express Scripts receives the request from your provider.</w:t>
      </w:r>
    </w:p>
    <w:p w14:paraId="557D82FD" w14:textId="77777777" w:rsidR="0022175C" w:rsidRPr="0022175C" w:rsidRDefault="0022175C" w:rsidP="0022175C">
      <w:pPr>
        <w:spacing w:after="0" w:line="259" w:lineRule="auto"/>
        <w:rPr>
          <w:rFonts w:ascii="Garamond" w:hAnsi="Garamond"/>
          <w:sz w:val="14"/>
          <w:szCs w:val="14"/>
        </w:rPr>
      </w:pPr>
    </w:p>
    <w:p w14:paraId="63BACE09" w14:textId="77777777" w:rsidR="0022175C" w:rsidRPr="0022175C" w:rsidRDefault="0022175C" w:rsidP="0022175C">
      <w:pPr>
        <w:spacing w:after="0" w:line="259" w:lineRule="auto"/>
        <w:rPr>
          <w:rFonts w:ascii="Garamond" w:hAnsi="Garamond"/>
          <w:b/>
          <w:bCs/>
          <w:sz w:val="14"/>
          <w:szCs w:val="14"/>
        </w:rPr>
      </w:pPr>
      <w:r w:rsidRPr="0022175C">
        <w:rPr>
          <w:rFonts w:ascii="Garamond" w:hAnsi="Garamond"/>
          <w:b/>
          <w:bCs/>
          <w:sz w:val="14"/>
          <w:szCs w:val="14"/>
        </w:rPr>
        <w:t>Q: What happens if my prior authorization is denied?</w:t>
      </w:r>
    </w:p>
    <w:p w14:paraId="107F0BF6" w14:textId="77777777" w:rsidR="0022175C" w:rsidRPr="0062370C" w:rsidRDefault="0022175C" w:rsidP="0022175C">
      <w:pPr>
        <w:spacing w:after="0" w:line="259" w:lineRule="auto"/>
        <w:rPr>
          <w:rFonts w:ascii="Garamond" w:hAnsi="Garamond"/>
          <w:sz w:val="14"/>
          <w:szCs w:val="14"/>
        </w:rPr>
      </w:pPr>
      <w:r w:rsidRPr="0022175C">
        <w:rPr>
          <w:rFonts w:ascii="Garamond" w:hAnsi="Garamond"/>
          <w:b/>
          <w:bCs/>
          <w:sz w:val="14"/>
          <w:szCs w:val="14"/>
        </w:rPr>
        <w:t>A: </w:t>
      </w:r>
      <w:r w:rsidRPr="0022175C">
        <w:rPr>
          <w:rFonts w:ascii="Garamond" w:hAnsi="Garamond"/>
          <w:sz w:val="14"/>
          <w:szCs w:val="14"/>
        </w:rPr>
        <w:t>Express Scripts will notify both you and your provider of the denial, the appeal process, and actions that can be taken to facilitate further review and consideration. Other options include working with your provider to change to a different covered drug or paying out of pocket for your drug.</w:t>
      </w:r>
    </w:p>
    <w:p w14:paraId="4DFFEA2D" w14:textId="77777777" w:rsidR="0022175C" w:rsidRPr="0022175C" w:rsidRDefault="0022175C" w:rsidP="0022175C">
      <w:pPr>
        <w:spacing w:after="0" w:line="259" w:lineRule="auto"/>
        <w:rPr>
          <w:rFonts w:ascii="Garamond" w:hAnsi="Garamond"/>
          <w:sz w:val="14"/>
          <w:szCs w:val="14"/>
        </w:rPr>
      </w:pPr>
    </w:p>
    <w:p w14:paraId="74FA83ED" w14:textId="77777777" w:rsidR="0022175C" w:rsidRPr="0022175C" w:rsidRDefault="0022175C" w:rsidP="0022175C">
      <w:pPr>
        <w:spacing w:after="0" w:line="259" w:lineRule="auto"/>
        <w:rPr>
          <w:rFonts w:ascii="Garamond" w:hAnsi="Garamond"/>
          <w:b/>
          <w:bCs/>
          <w:sz w:val="14"/>
          <w:szCs w:val="14"/>
        </w:rPr>
      </w:pPr>
      <w:r w:rsidRPr="0022175C">
        <w:rPr>
          <w:rFonts w:ascii="Garamond" w:hAnsi="Garamond"/>
          <w:b/>
          <w:bCs/>
          <w:sz w:val="14"/>
          <w:szCs w:val="14"/>
        </w:rPr>
        <w:t>Q: With the TRICARE Pharmacy Program, where can I go to get my prescription filled?</w:t>
      </w:r>
    </w:p>
    <w:p w14:paraId="49A417B4" w14:textId="77777777" w:rsidR="0022175C" w:rsidRPr="0022175C" w:rsidRDefault="0022175C" w:rsidP="0022175C">
      <w:pPr>
        <w:spacing w:after="0" w:line="259" w:lineRule="auto"/>
        <w:rPr>
          <w:rFonts w:ascii="Garamond" w:hAnsi="Garamond"/>
          <w:sz w:val="14"/>
          <w:szCs w:val="14"/>
        </w:rPr>
      </w:pPr>
      <w:r w:rsidRPr="0022175C">
        <w:rPr>
          <w:rFonts w:ascii="Garamond" w:hAnsi="Garamond"/>
          <w:b/>
          <w:bCs/>
          <w:sz w:val="14"/>
          <w:szCs w:val="14"/>
        </w:rPr>
        <w:t>A:</w:t>
      </w:r>
      <w:r w:rsidRPr="0022175C">
        <w:rPr>
          <w:rFonts w:ascii="Garamond" w:hAnsi="Garamond"/>
          <w:sz w:val="14"/>
          <w:szCs w:val="14"/>
        </w:rPr>
        <w:t> According to the </w:t>
      </w:r>
      <w:hyperlink r:id="rId18" w:history="1">
        <w:r w:rsidRPr="0022175C">
          <w:rPr>
            <w:rStyle w:val="Hyperlink"/>
            <w:rFonts w:ascii="Garamond" w:hAnsi="Garamond"/>
            <w:i/>
            <w:iCs/>
            <w:sz w:val="14"/>
            <w:szCs w:val="14"/>
          </w:rPr>
          <w:t>TRICARE Pharmacy Program Handbook</w:t>
        </w:r>
      </w:hyperlink>
      <w:r w:rsidRPr="0022175C">
        <w:rPr>
          <w:rFonts w:ascii="Garamond" w:hAnsi="Garamond"/>
          <w:sz w:val="14"/>
          <w:szCs w:val="14"/>
        </w:rPr>
        <w:t>, you can fill your prescriptions in several ways, including:</w:t>
      </w:r>
    </w:p>
    <w:p w14:paraId="372E30EE" w14:textId="77777777" w:rsidR="0022175C" w:rsidRPr="0022175C" w:rsidRDefault="0022175C" w:rsidP="0022175C">
      <w:pPr>
        <w:numPr>
          <w:ilvl w:val="0"/>
          <w:numId w:val="6"/>
        </w:numPr>
        <w:spacing w:after="0" w:line="259" w:lineRule="auto"/>
        <w:rPr>
          <w:rFonts w:ascii="Garamond" w:hAnsi="Garamond"/>
          <w:sz w:val="14"/>
          <w:szCs w:val="14"/>
        </w:rPr>
      </w:pPr>
      <w:r w:rsidRPr="0022175C">
        <w:rPr>
          <w:rFonts w:ascii="Garamond" w:hAnsi="Garamond"/>
          <w:sz w:val="14"/>
          <w:szCs w:val="14"/>
        </w:rPr>
        <w:t>Military pharmacies</w:t>
      </w:r>
    </w:p>
    <w:p w14:paraId="0217DA74" w14:textId="77777777" w:rsidR="0022175C" w:rsidRPr="0022175C" w:rsidRDefault="0022175C" w:rsidP="0022175C">
      <w:pPr>
        <w:numPr>
          <w:ilvl w:val="0"/>
          <w:numId w:val="6"/>
        </w:numPr>
        <w:spacing w:after="0" w:line="259" w:lineRule="auto"/>
        <w:rPr>
          <w:rFonts w:ascii="Garamond" w:hAnsi="Garamond"/>
          <w:sz w:val="14"/>
          <w:szCs w:val="14"/>
        </w:rPr>
      </w:pPr>
      <w:r w:rsidRPr="0022175C">
        <w:rPr>
          <w:rFonts w:ascii="Garamond" w:hAnsi="Garamond"/>
          <w:sz w:val="14"/>
          <w:szCs w:val="14"/>
        </w:rPr>
        <w:t>TRICARE Pharmacy Home Delivery</w:t>
      </w:r>
    </w:p>
    <w:p w14:paraId="68244C43" w14:textId="77777777" w:rsidR="0022175C" w:rsidRPr="0022175C" w:rsidRDefault="0022175C" w:rsidP="0022175C">
      <w:pPr>
        <w:numPr>
          <w:ilvl w:val="0"/>
          <w:numId w:val="6"/>
        </w:numPr>
        <w:spacing w:after="0" w:line="259" w:lineRule="auto"/>
        <w:rPr>
          <w:rFonts w:ascii="Garamond" w:hAnsi="Garamond"/>
          <w:sz w:val="14"/>
          <w:szCs w:val="14"/>
        </w:rPr>
      </w:pPr>
      <w:r w:rsidRPr="0022175C">
        <w:rPr>
          <w:rFonts w:ascii="Garamond" w:hAnsi="Garamond"/>
          <w:sz w:val="14"/>
          <w:szCs w:val="14"/>
        </w:rPr>
        <w:t>TRICARE retail network pharmacies</w:t>
      </w:r>
    </w:p>
    <w:p w14:paraId="538E820E" w14:textId="77777777" w:rsidR="0022175C" w:rsidRPr="0022175C" w:rsidRDefault="0022175C" w:rsidP="0022175C">
      <w:pPr>
        <w:numPr>
          <w:ilvl w:val="0"/>
          <w:numId w:val="6"/>
        </w:numPr>
        <w:spacing w:after="0" w:line="259" w:lineRule="auto"/>
        <w:rPr>
          <w:rFonts w:ascii="Garamond" w:hAnsi="Garamond"/>
          <w:sz w:val="14"/>
          <w:szCs w:val="14"/>
        </w:rPr>
      </w:pPr>
      <w:hyperlink r:id="rId19" w:history="1">
        <w:r w:rsidRPr="0022175C">
          <w:rPr>
            <w:rStyle w:val="Hyperlink"/>
            <w:rFonts w:ascii="Garamond" w:hAnsi="Garamond"/>
            <w:sz w:val="14"/>
            <w:szCs w:val="14"/>
          </w:rPr>
          <w:t>Non-network pharmacies</w:t>
        </w:r>
      </w:hyperlink>
    </w:p>
    <w:p w14:paraId="6A4EE2B5" w14:textId="77777777" w:rsidR="0022175C" w:rsidRPr="0022175C" w:rsidRDefault="0022175C" w:rsidP="0022175C">
      <w:pPr>
        <w:spacing w:after="0" w:line="259" w:lineRule="auto"/>
        <w:rPr>
          <w:rFonts w:ascii="Garamond" w:hAnsi="Garamond"/>
          <w:sz w:val="16"/>
          <w:szCs w:val="16"/>
        </w:rPr>
      </w:pPr>
    </w:p>
    <w:sectPr w:rsidR="0022175C" w:rsidRPr="0022175C">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436A" w14:textId="77777777" w:rsidR="0022175C" w:rsidRDefault="0022175C" w:rsidP="0022175C">
      <w:pPr>
        <w:spacing w:after="0" w:line="240" w:lineRule="auto"/>
      </w:pPr>
      <w:r>
        <w:separator/>
      </w:r>
    </w:p>
  </w:endnote>
  <w:endnote w:type="continuationSeparator" w:id="0">
    <w:p w14:paraId="39CAE436" w14:textId="77777777" w:rsidR="0022175C" w:rsidRDefault="0022175C" w:rsidP="0022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C66B" w14:textId="77777777" w:rsidR="0022175C" w:rsidRDefault="0022175C" w:rsidP="0022175C">
      <w:pPr>
        <w:spacing w:after="0" w:line="240" w:lineRule="auto"/>
      </w:pPr>
      <w:r>
        <w:separator/>
      </w:r>
    </w:p>
  </w:footnote>
  <w:footnote w:type="continuationSeparator" w:id="0">
    <w:p w14:paraId="1C4119E7" w14:textId="77777777" w:rsidR="0022175C" w:rsidRDefault="0022175C" w:rsidP="0022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3A32" w14:textId="77777777" w:rsidR="0022175C" w:rsidRPr="002A6CE6" w:rsidRDefault="0022175C" w:rsidP="0022175C">
    <w:pPr>
      <w:pStyle w:val="IntenseQuote"/>
      <w:spacing w:before="0" w:after="0" w:line="240" w:lineRule="auto"/>
      <w:ind w:left="0"/>
      <w:rPr>
        <w:rFonts w:ascii="Garamond" w:hAnsi="Garamond" w:cs="Times New Roman"/>
        <w:b/>
        <w:bCs/>
        <w:i w:val="0"/>
        <w:color w:val="002060"/>
      </w:rPr>
    </w:pPr>
    <w:r w:rsidRPr="002A6CE6">
      <w:rPr>
        <w:rFonts w:ascii="Garamond" w:hAnsi="Garamond" w:cs="Times New Roman"/>
        <w:i w:val="0"/>
        <w:noProof/>
        <w:color w:val="002060"/>
      </w:rPr>
      <w:drawing>
        <wp:anchor distT="0" distB="0" distL="114300" distR="114300" simplePos="0" relativeHeight="251659264" behindDoc="0" locked="0" layoutInCell="1" allowOverlap="1" wp14:anchorId="5AF11997" wp14:editId="6E6F9C5B">
          <wp:simplePos x="0" y="0"/>
          <wp:positionH relativeFrom="margin">
            <wp:align>right</wp:align>
          </wp:positionH>
          <wp:positionV relativeFrom="paragraph">
            <wp:posOffset>1905</wp:posOffset>
          </wp:positionV>
          <wp:extent cx="721995" cy="726440"/>
          <wp:effectExtent l="0" t="0" r="1905" b="0"/>
          <wp:wrapSquare wrapText="bothSides"/>
          <wp:docPr id="1049989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726440"/>
                  </a:xfrm>
                  <a:prstGeom prst="rect">
                    <a:avLst/>
                  </a:prstGeom>
                  <a:noFill/>
                </pic:spPr>
              </pic:pic>
            </a:graphicData>
          </a:graphic>
          <wp14:sizeRelH relativeFrom="margin">
            <wp14:pctWidth>0</wp14:pctWidth>
          </wp14:sizeRelH>
          <wp14:sizeRelV relativeFrom="margin">
            <wp14:pctHeight>0</wp14:pctHeight>
          </wp14:sizeRelV>
        </wp:anchor>
      </w:drawing>
    </w:r>
    <w:r w:rsidRPr="002A6CE6">
      <w:rPr>
        <w:rFonts w:ascii="Garamond" w:hAnsi="Garamond"/>
        <w:sz w:val="18"/>
        <w:szCs w:val="18"/>
      </w:rPr>
      <w:t xml:space="preserve"> </w:t>
    </w:r>
    <w:r w:rsidRPr="002A6CE6">
      <w:rPr>
        <w:rFonts w:ascii="Garamond" w:hAnsi="Garamond" w:cs="Times New Roman"/>
        <w:b/>
        <w:bCs/>
        <w:i w:val="0"/>
        <w:color w:val="002060"/>
      </w:rPr>
      <w:t>Defense Health Agency Communications and Public Affairs</w:t>
    </w:r>
  </w:p>
  <w:p w14:paraId="7E915060" w14:textId="77777777" w:rsidR="0022175C" w:rsidRPr="002A6CE6" w:rsidRDefault="0022175C" w:rsidP="0022175C">
    <w:pPr>
      <w:pStyle w:val="IntenseQuote"/>
      <w:spacing w:before="0" w:after="0" w:line="240" w:lineRule="auto"/>
      <w:ind w:left="0"/>
      <w:rPr>
        <w:rFonts w:ascii="Garamond" w:hAnsi="Garamond" w:cs="Times New Roman"/>
        <w:b/>
        <w:bCs/>
        <w:i w:val="0"/>
        <w:color w:val="002060"/>
      </w:rPr>
    </w:pPr>
    <w:r w:rsidRPr="002A6CE6">
      <w:rPr>
        <w:rFonts w:ascii="Garamond" w:hAnsi="Garamond" w:cs="Times New Roman"/>
        <w:b/>
        <w:bCs/>
        <w:i w:val="0"/>
        <w:color w:val="002060"/>
      </w:rPr>
      <w:t>Military Health Tip</w:t>
    </w:r>
  </w:p>
  <w:p w14:paraId="12380070" w14:textId="6338D7DB" w:rsidR="0022175C" w:rsidRPr="0022175C" w:rsidRDefault="0022175C" w:rsidP="0022175C">
    <w:pPr>
      <w:pStyle w:val="IntenseQuote"/>
      <w:spacing w:before="0" w:after="0" w:line="240" w:lineRule="auto"/>
      <w:ind w:left="0"/>
      <w:rPr>
        <w:rFonts w:ascii="Garamond" w:hAnsi="Garamond" w:cs="Times New Roman"/>
        <w:i w:val="0"/>
        <w:color w:val="002060"/>
      </w:rPr>
    </w:pPr>
    <w:r>
      <w:rPr>
        <w:rFonts w:ascii="Garamond" w:hAnsi="Garamond" w:cs="Times New Roman"/>
        <w:i w:val="0"/>
        <w:color w:val="002060"/>
      </w:rPr>
      <w:t>23</w:t>
    </w:r>
    <w:r>
      <w:rPr>
        <w:rFonts w:ascii="Garamond" w:hAnsi="Garamond" w:cs="Times New Roman"/>
        <w:i w:val="0"/>
        <w:color w:val="002060"/>
      </w:rPr>
      <w:t xml:space="preserve"> May</w:t>
    </w:r>
    <w:r w:rsidRPr="002A6CE6">
      <w:rPr>
        <w:rFonts w:ascii="Garamond" w:hAnsi="Garamond" w:cs="Times New Roman"/>
        <w:i w:val="0"/>
        <w:color w:val="002060"/>
      </w:rPr>
      <w:t xml:space="preserve"> 202</w:t>
    </w:r>
    <w:r>
      <w:rPr>
        <w:rFonts w:ascii="Garamond" w:hAnsi="Garamond" w:cs="Times New Roman"/>
        <w:i w:val="0"/>
        <w:color w:val="00206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1CC"/>
    <w:multiLevelType w:val="multilevel"/>
    <w:tmpl w:val="D0AA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E36C4C"/>
    <w:multiLevelType w:val="multilevel"/>
    <w:tmpl w:val="FD80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391581"/>
    <w:multiLevelType w:val="multilevel"/>
    <w:tmpl w:val="6F4A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BF1334"/>
    <w:multiLevelType w:val="multilevel"/>
    <w:tmpl w:val="D260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4946F3"/>
    <w:multiLevelType w:val="multilevel"/>
    <w:tmpl w:val="1EE2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C14FC7"/>
    <w:multiLevelType w:val="multilevel"/>
    <w:tmpl w:val="885C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0582258">
    <w:abstractNumId w:val="4"/>
  </w:num>
  <w:num w:numId="2" w16cid:durableId="293220146">
    <w:abstractNumId w:val="5"/>
  </w:num>
  <w:num w:numId="3" w16cid:durableId="2034525599">
    <w:abstractNumId w:val="2"/>
  </w:num>
  <w:num w:numId="4" w16cid:durableId="1629122011">
    <w:abstractNumId w:val="3"/>
  </w:num>
  <w:num w:numId="5" w16cid:durableId="345984898">
    <w:abstractNumId w:val="1"/>
  </w:num>
  <w:num w:numId="6" w16cid:durableId="153487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5C"/>
    <w:rsid w:val="0022175C"/>
    <w:rsid w:val="0062370C"/>
    <w:rsid w:val="00884A81"/>
    <w:rsid w:val="00EA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E2B4"/>
  <w15:chartTrackingRefBased/>
  <w15:docId w15:val="{438D53AF-F5DE-4082-82B1-AD2C2789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7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7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7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7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75C"/>
    <w:rPr>
      <w:rFonts w:eastAsiaTheme="majorEastAsia" w:cstheme="majorBidi"/>
      <w:color w:val="272727" w:themeColor="text1" w:themeTint="D8"/>
    </w:rPr>
  </w:style>
  <w:style w:type="paragraph" w:styleId="Title">
    <w:name w:val="Title"/>
    <w:basedOn w:val="Normal"/>
    <w:next w:val="Normal"/>
    <w:link w:val="TitleChar"/>
    <w:uiPriority w:val="10"/>
    <w:qFormat/>
    <w:rsid w:val="00221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7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75C"/>
    <w:pPr>
      <w:spacing w:before="160"/>
      <w:jc w:val="center"/>
    </w:pPr>
    <w:rPr>
      <w:i/>
      <w:iCs/>
      <w:color w:val="404040" w:themeColor="text1" w:themeTint="BF"/>
    </w:rPr>
  </w:style>
  <w:style w:type="character" w:customStyle="1" w:styleId="QuoteChar">
    <w:name w:val="Quote Char"/>
    <w:basedOn w:val="DefaultParagraphFont"/>
    <w:link w:val="Quote"/>
    <w:uiPriority w:val="29"/>
    <w:rsid w:val="0022175C"/>
    <w:rPr>
      <w:i/>
      <w:iCs/>
      <w:color w:val="404040" w:themeColor="text1" w:themeTint="BF"/>
    </w:rPr>
  </w:style>
  <w:style w:type="paragraph" w:styleId="ListParagraph">
    <w:name w:val="List Paragraph"/>
    <w:basedOn w:val="Normal"/>
    <w:uiPriority w:val="34"/>
    <w:qFormat/>
    <w:rsid w:val="0022175C"/>
    <w:pPr>
      <w:ind w:left="720"/>
      <w:contextualSpacing/>
    </w:pPr>
  </w:style>
  <w:style w:type="character" w:styleId="IntenseEmphasis">
    <w:name w:val="Intense Emphasis"/>
    <w:basedOn w:val="DefaultParagraphFont"/>
    <w:uiPriority w:val="21"/>
    <w:qFormat/>
    <w:rsid w:val="0022175C"/>
    <w:rPr>
      <w:i/>
      <w:iCs/>
      <w:color w:val="0F4761" w:themeColor="accent1" w:themeShade="BF"/>
    </w:rPr>
  </w:style>
  <w:style w:type="paragraph" w:styleId="IntenseQuote">
    <w:name w:val="Intense Quote"/>
    <w:basedOn w:val="Normal"/>
    <w:next w:val="Normal"/>
    <w:link w:val="IntenseQuoteChar"/>
    <w:uiPriority w:val="30"/>
    <w:qFormat/>
    <w:rsid w:val="00221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75C"/>
    <w:rPr>
      <w:i/>
      <w:iCs/>
      <w:color w:val="0F4761" w:themeColor="accent1" w:themeShade="BF"/>
    </w:rPr>
  </w:style>
  <w:style w:type="character" w:styleId="IntenseReference">
    <w:name w:val="Intense Reference"/>
    <w:basedOn w:val="DefaultParagraphFont"/>
    <w:uiPriority w:val="32"/>
    <w:qFormat/>
    <w:rsid w:val="0022175C"/>
    <w:rPr>
      <w:b/>
      <w:bCs/>
      <w:smallCaps/>
      <w:color w:val="0F4761" w:themeColor="accent1" w:themeShade="BF"/>
      <w:spacing w:val="5"/>
    </w:rPr>
  </w:style>
  <w:style w:type="paragraph" w:styleId="Header">
    <w:name w:val="header"/>
    <w:basedOn w:val="Normal"/>
    <w:link w:val="HeaderChar"/>
    <w:uiPriority w:val="99"/>
    <w:unhideWhenUsed/>
    <w:rsid w:val="00221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75C"/>
  </w:style>
  <w:style w:type="paragraph" w:styleId="Footer">
    <w:name w:val="footer"/>
    <w:basedOn w:val="Normal"/>
    <w:link w:val="FooterChar"/>
    <w:uiPriority w:val="99"/>
    <w:unhideWhenUsed/>
    <w:rsid w:val="00221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75C"/>
  </w:style>
  <w:style w:type="character" w:styleId="Hyperlink">
    <w:name w:val="Hyperlink"/>
    <w:basedOn w:val="DefaultParagraphFont"/>
    <w:uiPriority w:val="99"/>
    <w:unhideWhenUsed/>
    <w:rsid w:val="0022175C"/>
    <w:rPr>
      <w:color w:val="467886" w:themeColor="hyperlink"/>
      <w:u w:val="single"/>
    </w:rPr>
  </w:style>
  <w:style w:type="character" w:styleId="UnresolvedMention">
    <w:name w:val="Unresolved Mention"/>
    <w:basedOn w:val="DefaultParagraphFont"/>
    <w:uiPriority w:val="99"/>
    <w:semiHidden/>
    <w:unhideWhenUsed/>
    <w:rsid w:val="00221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54612">
      <w:bodyDiv w:val="1"/>
      <w:marLeft w:val="0"/>
      <w:marRight w:val="0"/>
      <w:marTop w:val="0"/>
      <w:marBottom w:val="0"/>
      <w:divBdr>
        <w:top w:val="none" w:sz="0" w:space="0" w:color="auto"/>
        <w:left w:val="none" w:sz="0" w:space="0" w:color="auto"/>
        <w:bottom w:val="none" w:sz="0" w:space="0" w:color="auto"/>
        <w:right w:val="none" w:sz="0" w:space="0" w:color="auto"/>
      </w:divBdr>
      <w:divsChild>
        <w:div w:id="2015717784">
          <w:marLeft w:val="0"/>
          <w:marRight w:val="0"/>
          <w:marTop w:val="0"/>
          <w:marBottom w:val="0"/>
          <w:divBdr>
            <w:top w:val="none" w:sz="0" w:space="0" w:color="auto"/>
            <w:left w:val="none" w:sz="0" w:space="0" w:color="auto"/>
            <w:bottom w:val="none" w:sz="0" w:space="0" w:color="auto"/>
            <w:right w:val="none" w:sz="0" w:space="0" w:color="auto"/>
          </w:divBdr>
        </w:div>
        <w:div w:id="391775797">
          <w:marLeft w:val="0"/>
          <w:marRight w:val="0"/>
          <w:marTop w:val="0"/>
          <w:marBottom w:val="0"/>
          <w:divBdr>
            <w:top w:val="none" w:sz="0" w:space="0" w:color="auto"/>
            <w:left w:val="none" w:sz="0" w:space="0" w:color="auto"/>
            <w:bottom w:val="none" w:sz="0" w:space="0" w:color="auto"/>
            <w:right w:val="none" w:sz="0" w:space="0" w:color="auto"/>
          </w:divBdr>
        </w:div>
        <w:div w:id="697971676">
          <w:marLeft w:val="0"/>
          <w:marRight w:val="0"/>
          <w:marTop w:val="0"/>
          <w:marBottom w:val="0"/>
          <w:divBdr>
            <w:top w:val="none" w:sz="0" w:space="0" w:color="auto"/>
            <w:left w:val="none" w:sz="0" w:space="0" w:color="auto"/>
            <w:bottom w:val="none" w:sz="0" w:space="0" w:color="auto"/>
            <w:right w:val="none" w:sz="0" w:space="0" w:color="auto"/>
          </w:divBdr>
        </w:div>
      </w:divsChild>
    </w:div>
    <w:div w:id="731973989">
      <w:bodyDiv w:val="1"/>
      <w:marLeft w:val="0"/>
      <w:marRight w:val="0"/>
      <w:marTop w:val="0"/>
      <w:marBottom w:val="0"/>
      <w:divBdr>
        <w:top w:val="none" w:sz="0" w:space="0" w:color="auto"/>
        <w:left w:val="none" w:sz="0" w:space="0" w:color="auto"/>
        <w:bottom w:val="none" w:sz="0" w:space="0" w:color="auto"/>
        <w:right w:val="none" w:sz="0" w:space="0" w:color="auto"/>
      </w:divBdr>
    </w:div>
    <w:div w:id="1059400123">
      <w:bodyDiv w:val="1"/>
      <w:marLeft w:val="0"/>
      <w:marRight w:val="0"/>
      <w:marTop w:val="0"/>
      <w:marBottom w:val="0"/>
      <w:divBdr>
        <w:top w:val="none" w:sz="0" w:space="0" w:color="auto"/>
        <w:left w:val="none" w:sz="0" w:space="0" w:color="auto"/>
        <w:bottom w:val="none" w:sz="0" w:space="0" w:color="auto"/>
        <w:right w:val="none" w:sz="0" w:space="0" w:color="auto"/>
      </w:divBdr>
      <w:divsChild>
        <w:div w:id="33963611">
          <w:marLeft w:val="0"/>
          <w:marRight w:val="0"/>
          <w:marTop w:val="0"/>
          <w:marBottom w:val="0"/>
          <w:divBdr>
            <w:top w:val="none" w:sz="0" w:space="0" w:color="auto"/>
            <w:left w:val="none" w:sz="0" w:space="0" w:color="auto"/>
            <w:bottom w:val="none" w:sz="0" w:space="0" w:color="auto"/>
            <w:right w:val="none" w:sz="0" w:space="0" w:color="auto"/>
          </w:divBdr>
        </w:div>
        <w:div w:id="979190628">
          <w:marLeft w:val="0"/>
          <w:marRight w:val="0"/>
          <w:marTop w:val="0"/>
          <w:marBottom w:val="0"/>
          <w:divBdr>
            <w:top w:val="none" w:sz="0" w:space="0" w:color="auto"/>
            <w:left w:val="none" w:sz="0" w:space="0" w:color="auto"/>
            <w:bottom w:val="none" w:sz="0" w:space="0" w:color="auto"/>
            <w:right w:val="none" w:sz="0" w:space="0" w:color="auto"/>
          </w:divBdr>
        </w:div>
        <w:div w:id="1659654965">
          <w:marLeft w:val="0"/>
          <w:marRight w:val="0"/>
          <w:marTop w:val="0"/>
          <w:marBottom w:val="0"/>
          <w:divBdr>
            <w:top w:val="none" w:sz="0" w:space="0" w:color="auto"/>
            <w:left w:val="none" w:sz="0" w:space="0" w:color="auto"/>
            <w:bottom w:val="none" w:sz="0" w:space="0" w:color="auto"/>
            <w:right w:val="none" w:sz="0" w:space="0" w:color="auto"/>
          </w:divBdr>
        </w:div>
      </w:divsChild>
    </w:div>
    <w:div w:id="187938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care.mil/pharmacy" TargetMode="External"/><Relationship Id="rId13" Type="http://schemas.openxmlformats.org/officeDocument/2006/relationships/hyperlink" Target="https://militaryrx.express-scripts.com/" TargetMode="External"/><Relationship Id="rId18" Type="http://schemas.openxmlformats.org/officeDocument/2006/relationships/hyperlink" Target="https://tricare.mil/Publications/Handbooks/pharmac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ricare.mil/plans" TargetMode="External"/><Relationship Id="rId12" Type="http://schemas.openxmlformats.org/officeDocument/2006/relationships/hyperlink" Target="https://www.health.mil/Military-Health-Topics/Access-Cost-Quality-and-Safety/Pharmacy-Operations/DOD-PT-Committee" TargetMode="External"/><Relationship Id="rId17" Type="http://schemas.openxmlformats.org/officeDocument/2006/relationships/hyperlink" Target="https://tricare.mil/CoveredServices/Pharmacy/FillPrescriptions/Network" TargetMode="External"/><Relationship Id="rId2" Type="http://schemas.openxmlformats.org/officeDocument/2006/relationships/styles" Target="styles.xml"/><Relationship Id="rId16" Type="http://schemas.openxmlformats.org/officeDocument/2006/relationships/hyperlink" Target="https://tricare.mil/CoveredServices/Pharmacy/FillPrescriptions/HomeDeliver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icare.mil/usfhp" TargetMode="External"/><Relationship Id="rId5" Type="http://schemas.openxmlformats.org/officeDocument/2006/relationships/footnotes" Target="footnotes.xml"/><Relationship Id="rId15" Type="http://schemas.openxmlformats.org/officeDocument/2006/relationships/hyperlink" Target="https://tricare.mil/CoveredServices/Pharmacy/FillPrescriptions/MilitaryPharm" TargetMode="External"/><Relationship Id="rId10" Type="http://schemas.openxmlformats.org/officeDocument/2006/relationships/hyperlink" Target="https://tricare.mil/About/Regions/East-Region/Referrals-and-Authorizations" TargetMode="External"/><Relationship Id="rId19" Type="http://schemas.openxmlformats.org/officeDocument/2006/relationships/hyperlink" Target="https://www.tricare.mil/NonNetworkpharmacy" TargetMode="External"/><Relationship Id="rId4" Type="http://schemas.openxmlformats.org/officeDocument/2006/relationships/webSettings" Target="webSettings.xml"/><Relationship Id="rId9" Type="http://schemas.openxmlformats.org/officeDocument/2006/relationships/hyperlink" Target="https://tricare.mil/About/Regions/East-Region/Referrals-and-Authorizations" TargetMode="External"/><Relationship Id="rId14" Type="http://schemas.openxmlformats.org/officeDocument/2006/relationships/hyperlink" Target="https://www.express-scripts.com/frontend/open-enrollment/tricare/fs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Peyton M CTR DHA COMMS &amp; PUB AFFAIRS (USA)</dc:creator>
  <cp:keywords/>
  <dc:description/>
  <cp:lastModifiedBy>Adams, Peyton M CTR DHA COMMS &amp; PUB AFFAIRS (USA)</cp:lastModifiedBy>
  <cp:revision>2</cp:revision>
  <dcterms:created xsi:type="dcterms:W3CDTF">2025-05-23T15:40:00Z</dcterms:created>
  <dcterms:modified xsi:type="dcterms:W3CDTF">2025-05-23T16:25:00Z</dcterms:modified>
</cp:coreProperties>
</file>