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D6BF81" w14:textId="77777777" w:rsidR="00C737B7" w:rsidRPr="00C737B7" w:rsidRDefault="00C737B7" w:rsidP="00C737B7">
      <w:pPr>
        <w:spacing w:before="240" w:line="259" w:lineRule="auto"/>
        <w:jc w:val="center"/>
        <w:rPr>
          <w:rFonts w:ascii="Garamond" w:hAnsi="Garamond"/>
          <w:b/>
          <w:bCs/>
          <w:color w:val="582831"/>
          <w:sz w:val="18"/>
          <w:szCs w:val="18"/>
        </w:rPr>
      </w:pPr>
      <w:r w:rsidRPr="00C737B7">
        <w:rPr>
          <w:rFonts w:ascii="Garamond" w:hAnsi="Garamond"/>
          <w:b/>
          <w:bCs/>
          <w:color w:val="582831"/>
          <w:sz w:val="18"/>
          <w:szCs w:val="18"/>
        </w:rPr>
        <w:t>Unlock Your Health by Understanding Your TRICARE Explanation of Benefits</w:t>
      </w:r>
    </w:p>
    <w:p w14:paraId="2D42DF5E" w14:textId="77777777" w:rsidR="00C737B7" w:rsidRPr="00C737B7" w:rsidRDefault="00C737B7" w:rsidP="00C737B7">
      <w:pPr>
        <w:spacing w:line="259" w:lineRule="auto"/>
        <w:rPr>
          <w:rFonts w:ascii="Garamond" w:hAnsi="Garamond"/>
          <w:sz w:val="17"/>
          <w:szCs w:val="17"/>
        </w:rPr>
      </w:pPr>
      <w:r w:rsidRPr="00C737B7">
        <w:rPr>
          <w:rFonts w:ascii="Garamond" w:hAnsi="Garamond"/>
          <w:sz w:val="17"/>
          <w:szCs w:val="17"/>
        </w:rPr>
        <w:t>Your TRICARE </w:t>
      </w:r>
      <w:hyperlink r:id="rId7" w:history="1">
        <w:r w:rsidRPr="00C737B7">
          <w:rPr>
            <w:rStyle w:val="Hyperlink"/>
            <w:rFonts w:ascii="Garamond" w:hAnsi="Garamond"/>
            <w:sz w:val="17"/>
            <w:szCs w:val="17"/>
          </w:rPr>
          <w:t>explanation of benefits</w:t>
        </w:r>
      </w:hyperlink>
      <w:r w:rsidRPr="00C737B7">
        <w:rPr>
          <w:rFonts w:ascii="Garamond" w:hAnsi="Garamond"/>
          <w:sz w:val="17"/>
          <w:szCs w:val="17"/>
        </w:rPr>
        <w:t> is an essential tool for understanding your health claims. An EOB is a statement from your health plan that details what action TRICARE has taken on your claims.</w:t>
      </w:r>
    </w:p>
    <w:p w14:paraId="797FEECA" w14:textId="77777777" w:rsidR="00C737B7" w:rsidRPr="00C737B7" w:rsidRDefault="00C737B7" w:rsidP="00C737B7">
      <w:pPr>
        <w:spacing w:before="240" w:line="259" w:lineRule="auto"/>
        <w:rPr>
          <w:rFonts w:ascii="Garamond" w:hAnsi="Garamond"/>
          <w:sz w:val="17"/>
          <w:szCs w:val="17"/>
        </w:rPr>
      </w:pPr>
      <w:r w:rsidRPr="00C737B7">
        <w:rPr>
          <w:rFonts w:ascii="Garamond" w:hAnsi="Garamond"/>
          <w:sz w:val="17"/>
          <w:szCs w:val="17"/>
        </w:rPr>
        <w:t>An EOB isn’t a doctor’s bill. But it does tell you what TRICARE has paid—or not paid—on your claim and how much you owe to your provider for your share of the costs, as described in Chapter 8, Section 8 of the </w:t>
      </w:r>
      <w:r w:rsidRPr="00C737B7">
        <w:rPr>
          <w:rFonts w:ascii="Garamond" w:hAnsi="Garamond"/>
          <w:i/>
          <w:iCs/>
          <w:sz w:val="17"/>
          <w:szCs w:val="17"/>
        </w:rPr>
        <w:t>TRICARE Operations Manual</w:t>
      </w:r>
      <w:r w:rsidRPr="00C737B7">
        <w:rPr>
          <w:rFonts w:ascii="Garamond" w:hAnsi="Garamond"/>
          <w:sz w:val="17"/>
          <w:szCs w:val="17"/>
        </w:rPr>
        <w:t>.</w:t>
      </w:r>
    </w:p>
    <w:p w14:paraId="7CE6471D" w14:textId="77777777" w:rsidR="00C737B7" w:rsidRPr="00C737B7" w:rsidRDefault="00C737B7" w:rsidP="00C737B7">
      <w:pPr>
        <w:spacing w:line="259" w:lineRule="auto"/>
        <w:rPr>
          <w:rFonts w:ascii="Garamond" w:hAnsi="Garamond"/>
          <w:b/>
          <w:bCs/>
          <w:sz w:val="17"/>
          <w:szCs w:val="17"/>
        </w:rPr>
      </w:pPr>
      <w:r w:rsidRPr="00C737B7">
        <w:rPr>
          <w:rFonts w:ascii="Garamond" w:hAnsi="Garamond"/>
          <w:b/>
          <w:bCs/>
          <w:sz w:val="17"/>
          <w:szCs w:val="17"/>
        </w:rPr>
        <w:t>When will I get an EOB?</w:t>
      </w:r>
    </w:p>
    <w:p w14:paraId="4A11A932" w14:textId="3A2D74CA" w:rsidR="00C737B7" w:rsidRPr="00C737B7" w:rsidRDefault="00C737B7" w:rsidP="00FF7663">
      <w:pPr>
        <w:spacing w:line="259" w:lineRule="auto"/>
        <w:rPr>
          <w:rFonts w:ascii="Garamond" w:hAnsi="Garamond"/>
          <w:b/>
          <w:bCs/>
          <w:sz w:val="17"/>
          <w:szCs w:val="17"/>
        </w:rPr>
      </w:pPr>
      <w:r w:rsidRPr="00C737B7">
        <w:rPr>
          <w:rFonts w:ascii="Garamond" w:hAnsi="Garamond"/>
          <w:sz w:val="17"/>
          <w:szCs w:val="17"/>
        </w:rPr>
        <w:t>You’ll typically receive an EOB after TRICARE processes a </w:t>
      </w:r>
      <w:hyperlink r:id="rId8" w:history="1">
        <w:r w:rsidRPr="00C737B7">
          <w:rPr>
            <w:rStyle w:val="Hyperlink"/>
            <w:rFonts w:ascii="Garamond" w:hAnsi="Garamond"/>
            <w:sz w:val="17"/>
            <w:szCs w:val="17"/>
          </w:rPr>
          <w:t>claim</w:t>
        </w:r>
      </w:hyperlink>
      <w:r w:rsidRPr="00C737B7">
        <w:rPr>
          <w:rFonts w:ascii="Garamond" w:hAnsi="Garamond"/>
          <w:sz w:val="17"/>
          <w:szCs w:val="17"/>
        </w:rPr>
        <w:t>. TRICARE processes a claim when you get civilian health care or dental care or fill a prescription. If you live:</w:t>
      </w:r>
    </w:p>
    <w:p w14:paraId="2294BD4E" w14:textId="77777777" w:rsidR="00C737B7" w:rsidRPr="00C737B7" w:rsidRDefault="00C737B7" w:rsidP="00C737B7">
      <w:pPr>
        <w:numPr>
          <w:ilvl w:val="0"/>
          <w:numId w:val="1"/>
        </w:numPr>
        <w:spacing w:after="0" w:line="259" w:lineRule="auto"/>
        <w:rPr>
          <w:rFonts w:ascii="Garamond" w:hAnsi="Garamond"/>
          <w:sz w:val="17"/>
          <w:szCs w:val="17"/>
        </w:rPr>
      </w:pPr>
      <w:r w:rsidRPr="00C737B7">
        <w:rPr>
          <w:rFonts w:ascii="Garamond" w:hAnsi="Garamond"/>
          <w:sz w:val="17"/>
          <w:szCs w:val="17"/>
        </w:rPr>
        <w:t>In the U.S.: You don’t need to file your own claims if you use a network provider. If you see a non-network provider, be prepared to file your own claim.</w:t>
      </w:r>
    </w:p>
    <w:p w14:paraId="3F2F2085" w14:textId="77777777" w:rsidR="00C737B7" w:rsidRPr="00C737B7" w:rsidRDefault="00C737B7" w:rsidP="00C737B7">
      <w:pPr>
        <w:numPr>
          <w:ilvl w:val="0"/>
          <w:numId w:val="1"/>
        </w:numPr>
        <w:spacing w:after="0" w:line="259" w:lineRule="auto"/>
        <w:rPr>
          <w:rFonts w:ascii="Garamond" w:hAnsi="Garamond"/>
          <w:sz w:val="17"/>
          <w:szCs w:val="17"/>
        </w:rPr>
      </w:pPr>
      <w:r w:rsidRPr="00C737B7">
        <w:rPr>
          <w:rFonts w:ascii="Garamond" w:hAnsi="Garamond"/>
          <w:sz w:val="17"/>
          <w:szCs w:val="17"/>
        </w:rPr>
        <w:t>Overseas: You may need to </w:t>
      </w:r>
      <w:hyperlink r:id="rId9" w:history="1">
        <w:r w:rsidRPr="00C737B7">
          <w:rPr>
            <w:rStyle w:val="Hyperlink"/>
            <w:rFonts w:ascii="Garamond" w:hAnsi="Garamond"/>
            <w:sz w:val="17"/>
            <w:szCs w:val="17"/>
          </w:rPr>
          <w:t>file your own claims</w:t>
        </w:r>
      </w:hyperlink>
      <w:r w:rsidRPr="00C737B7">
        <w:rPr>
          <w:rFonts w:ascii="Garamond" w:hAnsi="Garamond"/>
          <w:sz w:val="17"/>
          <w:szCs w:val="17"/>
        </w:rPr>
        <w:t> (depending on your TRICARE </w:t>
      </w:r>
      <w:hyperlink r:id="rId10" w:history="1">
        <w:r w:rsidRPr="00C737B7">
          <w:rPr>
            <w:rStyle w:val="Hyperlink"/>
            <w:rFonts w:ascii="Garamond" w:hAnsi="Garamond"/>
            <w:sz w:val="17"/>
            <w:szCs w:val="17"/>
          </w:rPr>
          <w:t>health plan</w:t>
        </w:r>
      </w:hyperlink>
      <w:r w:rsidRPr="00C737B7">
        <w:rPr>
          <w:rFonts w:ascii="Garamond" w:hAnsi="Garamond"/>
          <w:sz w:val="17"/>
          <w:szCs w:val="17"/>
        </w:rPr>
        <w:t>).</w:t>
      </w:r>
    </w:p>
    <w:p w14:paraId="17C1F56F" w14:textId="5342F0AB" w:rsidR="00C737B7" w:rsidRPr="00C737B7" w:rsidRDefault="00C737B7" w:rsidP="00C737B7">
      <w:pPr>
        <w:spacing w:before="240" w:line="259" w:lineRule="auto"/>
        <w:rPr>
          <w:rFonts w:ascii="Garamond" w:hAnsi="Garamond"/>
          <w:sz w:val="17"/>
          <w:szCs w:val="17"/>
        </w:rPr>
      </w:pPr>
      <w:r w:rsidRPr="00C737B7">
        <w:rPr>
          <w:rFonts w:ascii="Garamond" w:hAnsi="Garamond"/>
          <w:sz w:val="17"/>
          <w:szCs w:val="17"/>
        </w:rPr>
        <w:t>If you’ve had multiple claims in the same month, TRICARE might send you a consolidated statement.</w:t>
      </w:r>
      <w:r w:rsidRPr="00C737B7">
        <w:rPr>
          <w:rFonts w:ascii="Garamond" w:hAnsi="Garamond"/>
          <w:sz w:val="17"/>
          <w:szCs w:val="17"/>
        </w:rPr>
        <w:t xml:space="preserve"> </w:t>
      </w:r>
      <w:r w:rsidRPr="00C737B7">
        <w:rPr>
          <w:rFonts w:ascii="Garamond" w:hAnsi="Garamond"/>
          <w:sz w:val="17"/>
          <w:szCs w:val="17"/>
        </w:rPr>
        <w:t>You should receive your EOB within six weeks of getting a service by mail or secure message. If you don’t, contact your provider to ensure that the claim processed correctly.</w:t>
      </w:r>
    </w:p>
    <w:p w14:paraId="3FB8032E" w14:textId="77777777" w:rsidR="00C737B7" w:rsidRPr="00C737B7" w:rsidRDefault="00C737B7" w:rsidP="00C737B7">
      <w:pPr>
        <w:rPr>
          <w:rFonts w:ascii="Garamond" w:hAnsi="Garamond"/>
          <w:b/>
          <w:bCs/>
          <w:sz w:val="17"/>
          <w:szCs w:val="17"/>
        </w:rPr>
      </w:pPr>
      <w:r w:rsidRPr="00C737B7">
        <w:rPr>
          <w:rFonts w:ascii="Garamond" w:hAnsi="Garamond"/>
          <w:b/>
          <w:bCs/>
          <w:sz w:val="17"/>
          <w:szCs w:val="17"/>
        </w:rPr>
        <w:t>Medical EOB</w:t>
      </w:r>
    </w:p>
    <w:p w14:paraId="115ECA17" w14:textId="77777777" w:rsidR="00C737B7" w:rsidRPr="00C737B7" w:rsidRDefault="00C737B7" w:rsidP="00C737B7">
      <w:pPr>
        <w:rPr>
          <w:rFonts w:ascii="Garamond" w:hAnsi="Garamond"/>
          <w:sz w:val="17"/>
          <w:szCs w:val="17"/>
        </w:rPr>
      </w:pPr>
      <w:r w:rsidRPr="00C737B7">
        <w:rPr>
          <w:rFonts w:ascii="Garamond" w:hAnsi="Garamond"/>
          <w:sz w:val="17"/>
          <w:szCs w:val="17"/>
        </w:rPr>
        <w:t>You’ll get a medical EOB when you get healthcare services with TRICARE.</w:t>
      </w:r>
    </w:p>
    <w:p w14:paraId="7C7B87AE" w14:textId="77777777" w:rsidR="00C737B7" w:rsidRPr="00C737B7" w:rsidRDefault="00C737B7" w:rsidP="00C737B7">
      <w:pPr>
        <w:rPr>
          <w:rFonts w:ascii="Garamond" w:hAnsi="Garamond"/>
          <w:sz w:val="17"/>
          <w:szCs w:val="17"/>
        </w:rPr>
      </w:pPr>
      <w:r w:rsidRPr="00C737B7">
        <w:rPr>
          <w:rFonts w:ascii="Garamond" w:hAnsi="Garamond"/>
          <w:sz w:val="17"/>
          <w:szCs w:val="17"/>
        </w:rPr>
        <w:t>Medical EOBs look slightly different across TRICARE regions, but they all have the same information about services you received. Here are some key sections you should pay attention to when reviewing a medical EOB.</w:t>
      </w:r>
    </w:p>
    <w:p w14:paraId="2A110850" w14:textId="77777777" w:rsidR="00C737B7" w:rsidRPr="00C737B7" w:rsidRDefault="00C737B7" w:rsidP="00C737B7">
      <w:pPr>
        <w:spacing w:after="0"/>
        <w:rPr>
          <w:rFonts w:ascii="Garamond" w:hAnsi="Garamond"/>
          <w:b/>
          <w:bCs/>
          <w:sz w:val="17"/>
          <w:szCs w:val="17"/>
        </w:rPr>
      </w:pPr>
      <w:r w:rsidRPr="00C737B7">
        <w:rPr>
          <w:rFonts w:ascii="Garamond" w:hAnsi="Garamond"/>
          <w:b/>
          <w:bCs/>
          <w:sz w:val="17"/>
          <w:szCs w:val="17"/>
        </w:rPr>
        <w:t>Information about the claim:</w:t>
      </w:r>
    </w:p>
    <w:p w14:paraId="6A78A054" w14:textId="77777777" w:rsidR="00C737B7" w:rsidRPr="00C737B7" w:rsidRDefault="00C737B7" w:rsidP="00C737B7">
      <w:pPr>
        <w:numPr>
          <w:ilvl w:val="0"/>
          <w:numId w:val="2"/>
        </w:numPr>
        <w:spacing w:after="0"/>
        <w:rPr>
          <w:rFonts w:ascii="Garamond" w:hAnsi="Garamond"/>
          <w:sz w:val="17"/>
          <w:szCs w:val="17"/>
        </w:rPr>
      </w:pPr>
      <w:r w:rsidRPr="00C737B7">
        <w:rPr>
          <w:rFonts w:ascii="Garamond" w:hAnsi="Garamond"/>
          <w:b/>
          <w:bCs/>
          <w:sz w:val="17"/>
          <w:szCs w:val="17"/>
        </w:rPr>
        <w:t>Claims Processor and Regional Contractor: </w:t>
      </w:r>
      <w:r w:rsidRPr="00C737B7">
        <w:rPr>
          <w:rFonts w:ascii="Garamond" w:hAnsi="Garamond"/>
          <w:sz w:val="17"/>
          <w:szCs w:val="17"/>
        </w:rPr>
        <w:t>The </w:t>
      </w:r>
      <w:hyperlink r:id="rId11" w:history="1">
        <w:r w:rsidRPr="00C737B7">
          <w:rPr>
            <w:rStyle w:val="Hyperlink"/>
            <w:rFonts w:ascii="Garamond" w:hAnsi="Garamond"/>
            <w:sz w:val="17"/>
            <w:szCs w:val="17"/>
          </w:rPr>
          <w:t>claims processor</w:t>
        </w:r>
      </w:hyperlink>
      <w:r w:rsidRPr="00C737B7">
        <w:rPr>
          <w:rFonts w:ascii="Garamond" w:hAnsi="Garamond"/>
          <w:sz w:val="17"/>
          <w:szCs w:val="17"/>
        </w:rPr>
        <w:t> and </w:t>
      </w:r>
      <w:hyperlink r:id="rId12" w:history="1">
        <w:r w:rsidRPr="00C737B7">
          <w:rPr>
            <w:rStyle w:val="Hyperlink"/>
            <w:rFonts w:ascii="Garamond" w:hAnsi="Garamond"/>
            <w:sz w:val="17"/>
            <w:szCs w:val="17"/>
          </w:rPr>
          <w:t>regional contractor</w:t>
        </w:r>
      </w:hyperlink>
      <w:r w:rsidRPr="00C737B7">
        <w:rPr>
          <w:rFonts w:ascii="Garamond" w:hAnsi="Garamond"/>
          <w:sz w:val="17"/>
          <w:szCs w:val="17"/>
        </w:rPr>
        <w:t> that handled your claim.</w:t>
      </w:r>
    </w:p>
    <w:p w14:paraId="30ABAA5B" w14:textId="77777777" w:rsidR="00C737B7" w:rsidRPr="00C737B7" w:rsidRDefault="00C737B7" w:rsidP="00C737B7">
      <w:pPr>
        <w:numPr>
          <w:ilvl w:val="0"/>
          <w:numId w:val="2"/>
        </w:numPr>
        <w:spacing w:after="0"/>
        <w:rPr>
          <w:rFonts w:ascii="Garamond" w:hAnsi="Garamond"/>
          <w:sz w:val="17"/>
          <w:szCs w:val="17"/>
        </w:rPr>
      </w:pPr>
      <w:r w:rsidRPr="00C737B7">
        <w:rPr>
          <w:rFonts w:ascii="Garamond" w:hAnsi="Garamond"/>
          <w:b/>
          <w:bCs/>
          <w:sz w:val="17"/>
          <w:szCs w:val="17"/>
        </w:rPr>
        <w:t>Date of Notice: </w:t>
      </w:r>
      <w:r w:rsidRPr="00C737B7">
        <w:rPr>
          <w:rFonts w:ascii="Garamond" w:hAnsi="Garamond"/>
          <w:sz w:val="17"/>
          <w:szCs w:val="17"/>
        </w:rPr>
        <w:t>The date the claims processor prepared your EOB. (If you need to </w:t>
      </w:r>
      <w:hyperlink r:id="rId13" w:history="1">
        <w:r w:rsidRPr="00C737B7">
          <w:rPr>
            <w:rStyle w:val="Hyperlink"/>
            <w:rFonts w:ascii="Garamond" w:hAnsi="Garamond"/>
            <w:sz w:val="17"/>
            <w:szCs w:val="17"/>
          </w:rPr>
          <w:t>appeal</w:t>
        </w:r>
      </w:hyperlink>
      <w:r w:rsidRPr="00C737B7">
        <w:rPr>
          <w:rFonts w:ascii="Garamond" w:hAnsi="Garamond"/>
          <w:sz w:val="17"/>
          <w:szCs w:val="17"/>
        </w:rPr>
        <w:t> your claim, you must do so within 90 days of this date.)</w:t>
      </w:r>
    </w:p>
    <w:p w14:paraId="44B337DB" w14:textId="77777777" w:rsidR="00C737B7" w:rsidRPr="00C737B7" w:rsidRDefault="00C737B7" w:rsidP="00C737B7">
      <w:pPr>
        <w:numPr>
          <w:ilvl w:val="0"/>
          <w:numId w:val="2"/>
        </w:numPr>
        <w:spacing w:after="0"/>
        <w:rPr>
          <w:rFonts w:ascii="Garamond" w:hAnsi="Garamond"/>
          <w:sz w:val="17"/>
          <w:szCs w:val="17"/>
        </w:rPr>
      </w:pPr>
      <w:r w:rsidRPr="00C737B7">
        <w:rPr>
          <w:rFonts w:ascii="Garamond" w:hAnsi="Garamond"/>
          <w:b/>
          <w:bCs/>
          <w:sz w:val="17"/>
          <w:szCs w:val="17"/>
        </w:rPr>
        <w:t>Patient Name: </w:t>
      </w:r>
      <w:r w:rsidRPr="00C737B7">
        <w:rPr>
          <w:rFonts w:ascii="Garamond" w:hAnsi="Garamond"/>
          <w:sz w:val="17"/>
          <w:szCs w:val="17"/>
        </w:rPr>
        <w:t>The person the provider saw or treated</w:t>
      </w:r>
    </w:p>
    <w:p w14:paraId="2A729B63" w14:textId="77777777" w:rsidR="00C737B7" w:rsidRPr="00C737B7" w:rsidRDefault="00C737B7" w:rsidP="00C737B7">
      <w:pPr>
        <w:numPr>
          <w:ilvl w:val="0"/>
          <w:numId w:val="2"/>
        </w:numPr>
        <w:spacing w:after="0"/>
        <w:rPr>
          <w:rFonts w:ascii="Garamond" w:hAnsi="Garamond"/>
          <w:sz w:val="17"/>
          <w:szCs w:val="17"/>
        </w:rPr>
      </w:pPr>
      <w:r w:rsidRPr="00C737B7">
        <w:rPr>
          <w:rFonts w:ascii="Garamond" w:hAnsi="Garamond"/>
          <w:b/>
          <w:bCs/>
          <w:sz w:val="17"/>
          <w:szCs w:val="17"/>
        </w:rPr>
        <w:t>Provider: </w:t>
      </w:r>
      <w:r w:rsidRPr="00C737B7">
        <w:rPr>
          <w:rFonts w:ascii="Garamond" w:hAnsi="Garamond"/>
          <w:sz w:val="17"/>
          <w:szCs w:val="17"/>
        </w:rPr>
        <w:t>The provider (individual or facility) who saw or treated the patient</w:t>
      </w:r>
    </w:p>
    <w:p w14:paraId="09BFDBBE" w14:textId="77777777" w:rsidR="00C737B7" w:rsidRPr="00C737B7" w:rsidRDefault="00C737B7" w:rsidP="00C737B7">
      <w:pPr>
        <w:numPr>
          <w:ilvl w:val="0"/>
          <w:numId w:val="2"/>
        </w:numPr>
        <w:spacing w:after="0"/>
        <w:rPr>
          <w:rFonts w:ascii="Garamond" w:hAnsi="Garamond"/>
          <w:sz w:val="17"/>
          <w:szCs w:val="17"/>
        </w:rPr>
      </w:pPr>
      <w:r w:rsidRPr="00C737B7">
        <w:rPr>
          <w:rFonts w:ascii="Garamond" w:hAnsi="Garamond"/>
          <w:b/>
          <w:bCs/>
          <w:sz w:val="17"/>
          <w:szCs w:val="17"/>
        </w:rPr>
        <w:t>Date of Service:</w:t>
      </w:r>
      <w:r w:rsidRPr="00C737B7">
        <w:rPr>
          <w:rFonts w:ascii="Garamond" w:hAnsi="Garamond"/>
          <w:sz w:val="17"/>
          <w:szCs w:val="17"/>
        </w:rPr>
        <w:t> The date or dates the service was provided</w:t>
      </w:r>
    </w:p>
    <w:p w14:paraId="205DB309" w14:textId="77777777" w:rsidR="00C737B7" w:rsidRPr="00C737B7" w:rsidRDefault="00C737B7" w:rsidP="00C737B7">
      <w:pPr>
        <w:numPr>
          <w:ilvl w:val="0"/>
          <w:numId w:val="2"/>
        </w:numPr>
        <w:spacing w:after="0"/>
        <w:rPr>
          <w:rFonts w:ascii="Garamond" w:hAnsi="Garamond"/>
          <w:sz w:val="17"/>
          <w:szCs w:val="17"/>
        </w:rPr>
      </w:pPr>
      <w:r w:rsidRPr="00C737B7">
        <w:rPr>
          <w:rFonts w:ascii="Garamond" w:hAnsi="Garamond"/>
          <w:b/>
          <w:bCs/>
          <w:sz w:val="17"/>
          <w:szCs w:val="17"/>
        </w:rPr>
        <w:t>Claim Number: </w:t>
      </w:r>
      <w:r w:rsidRPr="00C737B7">
        <w:rPr>
          <w:rFonts w:ascii="Garamond" w:hAnsi="Garamond"/>
          <w:sz w:val="17"/>
          <w:szCs w:val="17"/>
        </w:rPr>
        <w:t>A unique number for tracking purposes. (Take note of this if you have a question about your claim.)</w:t>
      </w:r>
    </w:p>
    <w:p w14:paraId="45AA1DC9" w14:textId="77777777" w:rsidR="00C737B7" w:rsidRPr="00C737B7" w:rsidRDefault="00C737B7" w:rsidP="00C737B7">
      <w:pPr>
        <w:numPr>
          <w:ilvl w:val="0"/>
          <w:numId w:val="2"/>
        </w:numPr>
        <w:spacing w:after="0"/>
        <w:rPr>
          <w:rFonts w:ascii="Garamond" w:hAnsi="Garamond"/>
          <w:sz w:val="17"/>
          <w:szCs w:val="17"/>
        </w:rPr>
      </w:pPr>
      <w:r w:rsidRPr="00C737B7">
        <w:rPr>
          <w:rFonts w:ascii="Garamond" w:hAnsi="Garamond"/>
          <w:b/>
          <w:bCs/>
          <w:sz w:val="17"/>
          <w:szCs w:val="17"/>
        </w:rPr>
        <w:t>Service Provided: </w:t>
      </w:r>
      <w:r w:rsidRPr="00C737B7">
        <w:rPr>
          <w:rFonts w:ascii="Garamond" w:hAnsi="Garamond"/>
          <w:sz w:val="17"/>
          <w:szCs w:val="17"/>
        </w:rPr>
        <w:t>Describes the service received. It lists specific procedure codes.</w:t>
      </w:r>
    </w:p>
    <w:p w14:paraId="12CD6185" w14:textId="77777777" w:rsidR="00C737B7" w:rsidRPr="00C737B7" w:rsidRDefault="00C737B7" w:rsidP="00C737B7">
      <w:pPr>
        <w:spacing w:after="0"/>
        <w:ind w:left="720"/>
        <w:rPr>
          <w:rFonts w:ascii="Garamond" w:hAnsi="Garamond"/>
          <w:sz w:val="17"/>
          <w:szCs w:val="17"/>
        </w:rPr>
      </w:pPr>
    </w:p>
    <w:p w14:paraId="2A4586BB" w14:textId="77777777" w:rsidR="00C737B7" w:rsidRPr="00C737B7" w:rsidRDefault="00C737B7" w:rsidP="00C737B7">
      <w:pPr>
        <w:spacing w:after="0"/>
        <w:rPr>
          <w:rFonts w:ascii="Garamond" w:hAnsi="Garamond"/>
          <w:b/>
          <w:bCs/>
          <w:sz w:val="17"/>
          <w:szCs w:val="17"/>
        </w:rPr>
      </w:pPr>
      <w:r w:rsidRPr="00C737B7">
        <w:rPr>
          <w:rFonts w:ascii="Garamond" w:hAnsi="Garamond"/>
          <w:b/>
          <w:bCs/>
          <w:sz w:val="17"/>
          <w:szCs w:val="17"/>
        </w:rPr>
        <w:t>Information about costs:</w:t>
      </w:r>
    </w:p>
    <w:p w14:paraId="484E7E30" w14:textId="77777777" w:rsidR="00C737B7" w:rsidRPr="00C737B7" w:rsidRDefault="00C737B7" w:rsidP="00C737B7">
      <w:pPr>
        <w:numPr>
          <w:ilvl w:val="0"/>
          <w:numId w:val="3"/>
        </w:numPr>
        <w:spacing w:after="0"/>
        <w:rPr>
          <w:rFonts w:ascii="Garamond" w:hAnsi="Garamond"/>
          <w:sz w:val="17"/>
          <w:szCs w:val="17"/>
        </w:rPr>
      </w:pPr>
      <w:r w:rsidRPr="00C737B7">
        <w:rPr>
          <w:rFonts w:ascii="Garamond" w:hAnsi="Garamond"/>
          <w:b/>
          <w:bCs/>
          <w:sz w:val="17"/>
          <w:szCs w:val="17"/>
        </w:rPr>
        <w:t>Total Patient Responsibility: </w:t>
      </w:r>
      <w:r w:rsidRPr="00C737B7">
        <w:rPr>
          <w:rFonts w:ascii="Garamond" w:hAnsi="Garamond"/>
          <w:sz w:val="17"/>
          <w:szCs w:val="17"/>
        </w:rPr>
        <w:t>The amount you properly owe the provider</w:t>
      </w:r>
    </w:p>
    <w:p w14:paraId="064BD181" w14:textId="77777777" w:rsidR="00C737B7" w:rsidRPr="00C737B7" w:rsidRDefault="00C737B7" w:rsidP="00C737B7">
      <w:pPr>
        <w:numPr>
          <w:ilvl w:val="0"/>
          <w:numId w:val="3"/>
        </w:numPr>
        <w:spacing w:after="0"/>
        <w:rPr>
          <w:rFonts w:ascii="Garamond" w:hAnsi="Garamond"/>
          <w:sz w:val="17"/>
          <w:szCs w:val="17"/>
        </w:rPr>
      </w:pPr>
      <w:r w:rsidRPr="00C737B7">
        <w:rPr>
          <w:rFonts w:ascii="Garamond" w:hAnsi="Garamond"/>
          <w:b/>
          <w:bCs/>
          <w:sz w:val="17"/>
          <w:szCs w:val="17"/>
        </w:rPr>
        <w:t>Benefit Period Summary: </w:t>
      </w:r>
      <w:r w:rsidRPr="00C737B7">
        <w:rPr>
          <w:rFonts w:ascii="Garamond" w:hAnsi="Garamond"/>
          <w:sz w:val="17"/>
          <w:szCs w:val="17"/>
        </w:rPr>
        <w:t>The amount the claims processor applied to your family’s </w:t>
      </w:r>
      <w:hyperlink r:id="rId14" w:history="1">
        <w:r w:rsidRPr="00C737B7">
          <w:rPr>
            <w:rStyle w:val="Hyperlink"/>
            <w:rFonts w:ascii="Garamond" w:hAnsi="Garamond"/>
            <w:sz w:val="17"/>
            <w:szCs w:val="17"/>
          </w:rPr>
          <w:t>deductibles</w:t>
        </w:r>
      </w:hyperlink>
      <w:r w:rsidRPr="00C737B7">
        <w:rPr>
          <w:rFonts w:ascii="Garamond" w:hAnsi="Garamond"/>
          <w:sz w:val="17"/>
          <w:szCs w:val="17"/>
        </w:rPr>
        <w:t> and </w:t>
      </w:r>
      <w:hyperlink r:id="rId15" w:history="1">
        <w:r w:rsidRPr="00C737B7">
          <w:rPr>
            <w:rStyle w:val="Hyperlink"/>
            <w:rFonts w:ascii="Garamond" w:hAnsi="Garamond"/>
            <w:sz w:val="17"/>
            <w:szCs w:val="17"/>
          </w:rPr>
          <w:t>catastrophic cap</w:t>
        </w:r>
      </w:hyperlink>
      <w:r w:rsidRPr="00C737B7">
        <w:rPr>
          <w:rFonts w:ascii="Garamond" w:hAnsi="Garamond"/>
          <w:sz w:val="17"/>
          <w:szCs w:val="17"/>
        </w:rPr>
        <w:t>. (Note: The deductible and catastrophic cap are reset every year.)</w:t>
      </w:r>
    </w:p>
    <w:p w14:paraId="25B10214" w14:textId="77777777" w:rsidR="00C737B7" w:rsidRPr="00C737B7" w:rsidRDefault="00C737B7" w:rsidP="00C737B7">
      <w:pPr>
        <w:numPr>
          <w:ilvl w:val="0"/>
          <w:numId w:val="3"/>
        </w:numPr>
        <w:spacing w:after="0"/>
        <w:rPr>
          <w:rFonts w:ascii="Garamond" w:hAnsi="Garamond"/>
          <w:sz w:val="17"/>
          <w:szCs w:val="17"/>
        </w:rPr>
      </w:pPr>
      <w:r w:rsidRPr="00C737B7">
        <w:rPr>
          <w:rFonts w:ascii="Garamond" w:hAnsi="Garamond"/>
          <w:b/>
          <w:bCs/>
          <w:sz w:val="17"/>
          <w:szCs w:val="17"/>
        </w:rPr>
        <w:t>Amount Other Insurance Paid: </w:t>
      </w:r>
      <w:r w:rsidRPr="00C737B7">
        <w:rPr>
          <w:rFonts w:ascii="Garamond" w:hAnsi="Garamond"/>
          <w:sz w:val="17"/>
          <w:szCs w:val="17"/>
        </w:rPr>
        <w:t>The amount your </w:t>
      </w:r>
      <w:hyperlink r:id="rId16" w:history="1">
        <w:r w:rsidRPr="00C737B7">
          <w:rPr>
            <w:rStyle w:val="Hyperlink"/>
            <w:rFonts w:ascii="Garamond" w:hAnsi="Garamond"/>
            <w:sz w:val="17"/>
            <w:szCs w:val="17"/>
          </w:rPr>
          <w:t>other health insurance</w:t>
        </w:r>
      </w:hyperlink>
      <w:r w:rsidRPr="00C737B7">
        <w:rPr>
          <w:rFonts w:ascii="Garamond" w:hAnsi="Garamond"/>
          <w:sz w:val="17"/>
          <w:szCs w:val="17"/>
        </w:rPr>
        <w:t> paid, if you have OHI</w:t>
      </w:r>
    </w:p>
    <w:p w14:paraId="12A9864C" w14:textId="77777777" w:rsidR="00C737B7" w:rsidRPr="00C737B7" w:rsidRDefault="00C737B7" w:rsidP="00C737B7">
      <w:pPr>
        <w:numPr>
          <w:ilvl w:val="0"/>
          <w:numId w:val="3"/>
        </w:numPr>
        <w:spacing w:after="0"/>
        <w:rPr>
          <w:rFonts w:ascii="Garamond" w:hAnsi="Garamond"/>
          <w:sz w:val="17"/>
          <w:szCs w:val="17"/>
        </w:rPr>
      </w:pPr>
      <w:r w:rsidRPr="00C737B7">
        <w:rPr>
          <w:rFonts w:ascii="Garamond" w:hAnsi="Garamond"/>
          <w:b/>
          <w:bCs/>
          <w:sz w:val="17"/>
          <w:szCs w:val="17"/>
        </w:rPr>
        <w:t>Amount You Paid: </w:t>
      </w:r>
      <w:r w:rsidRPr="00C737B7">
        <w:rPr>
          <w:rFonts w:ascii="Garamond" w:hAnsi="Garamond"/>
          <w:sz w:val="17"/>
          <w:szCs w:val="17"/>
        </w:rPr>
        <w:t>The amount you paid the provider, as noted on the claim</w:t>
      </w:r>
    </w:p>
    <w:p w14:paraId="0C91BA99" w14:textId="77777777" w:rsidR="00C737B7" w:rsidRPr="00C737B7" w:rsidRDefault="00C737B7" w:rsidP="00C737B7">
      <w:pPr>
        <w:numPr>
          <w:ilvl w:val="0"/>
          <w:numId w:val="3"/>
        </w:numPr>
        <w:spacing w:after="0"/>
        <w:rPr>
          <w:rFonts w:ascii="Garamond" w:hAnsi="Garamond"/>
          <w:sz w:val="17"/>
          <w:szCs w:val="17"/>
        </w:rPr>
      </w:pPr>
      <w:r w:rsidRPr="00C737B7">
        <w:rPr>
          <w:rFonts w:ascii="Garamond" w:hAnsi="Garamond"/>
          <w:b/>
          <w:bCs/>
          <w:sz w:val="17"/>
          <w:szCs w:val="17"/>
        </w:rPr>
        <w:t>Amount Your Provider May Collect from You: </w:t>
      </w:r>
      <w:r w:rsidRPr="00C737B7">
        <w:rPr>
          <w:rFonts w:ascii="Garamond" w:hAnsi="Garamond"/>
          <w:sz w:val="17"/>
          <w:szCs w:val="17"/>
        </w:rPr>
        <w:t>The amount you owe (deductible, copayment, cost-share)</w:t>
      </w:r>
    </w:p>
    <w:p w14:paraId="4DB040C5" w14:textId="77777777" w:rsidR="00C737B7" w:rsidRPr="00C737B7" w:rsidRDefault="00C737B7" w:rsidP="00C737B7">
      <w:pPr>
        <w:numPr>
          <w:ilvl w:val="0"/>
          <w:numId w:val="3"/>
        </w:numPr>
        <w:spacing w:after="0"/>
        <w:rPr>
          <w:rFonts w:ascii="Garamond" w:hAnsi="Garamond"/>
          <w:sz w:val="17"/>
          <w:szCs w:val="17"/>
        </w:rPr>
      </w:pPr>
      <w:r w:rsidRPr="00C737B7">
        <w:rPr>
          <w:rFonts w:ascii="Garamond" w:hAnsi="Garamond"/>
          <w:b/>
          <w:bCs/>
          <w:sz w:val="17"/>
          <w:szCs w:val="17"/>
        </w:rPr>
        <w:t>Amount TRICARE Paid Your Provider</w:t>
      </w:r>
    </w:p>
    <w:p w14:paraId="7DB1A073" w14:textId="77777777" w:rsidR="00C737B7" w:rsidRPr="00C737B7" w:rsidRDefault="00C737B7" w:rsidP="00C737B7">
      <w:pPr>
        <w:numPr>
          <w:ilvl w:val="0"/>
          <w:numId w:val="3"/>
        </w:numPr>
        <w:spacing w:after="0"/>
        <w:rPr>
          <w:rFonts w:ascii="Garamond" w:hAnsi="Garamond"/>
          <w:sz w:val="17"/>
          <w:szCs w:val="17"/>
        </w:rPr>
      </w:pPr>
      <w:r w:rsidRPr="00C737B7">
        <w:rPr>
          <w:rFonts w:ascii="Garamond" w:hAnsi="Garamond"/>
          <w:b/>
          <w:bCs/>
          <w:sz w:val="17"/>
          <w:szCs w:val="17"/>
        </w:rPr>
        <w:t>Amount TRICARE Paid You</w:t>
      </w:r>
    </w:p>
    <w:p w14:paraId="226568A5" w14:textId="77777777" w:rsidR="00C737B7" w:rsidRPr="00C737B7" w:rsidRDefault="00C737B7" w:rsidP="00C737B7">
      <w:pPr>
        <w:numPr>
          <w:ilvl w:val="0"/>
          <w:numId w:val="3"/>
        </w:numPr>
        <w:spacing w:after="0"/>
        <w:rPr>
          <w:rFonts w:ascii="Garamond" w:hAnsi="Garamond"/>
          <w:sz w:val="17"/>
          <w:szCs w:val="17"/>
        </w:rPr>
      </w:pPr>
      <w:r w:rsidRPr="00C737B7">
        <w:rPr>
          <w:rFonts w:ascii="Garamond" w:hAnsi="Garamond"/>
          <w:b/>
          <w:bCs/>
          <w:sz w:val="17"/>
          <w:szCs w:val="17"/>
        </w:rPr>
        <w:t>Your Provider Charged: </w:t>
      </w:r>
      <w:r w:rsidRPr="00C737B7">
        <w:rPr>
          <w:rFonts w:ascii="Garamond" w:hAnsi="Garamond"/>
          <w:sz w:val="17"/>
          <w:szCs w:val="17"/>
        </w:rPr>
        <w:t>The amount the provider billed TRICARE for a particular service</w:t>
      </w:r>
    </w:p>
    <w:p w14:paraId="276C4800" w14:textId="77777777" w:rsidR="00C737B7" w:rsidRPr="00C737B7" w:rsidRDefault="00C737B7" w:rsidP="00C737B7">
      <w:pPr>
        <w:numPr>
          <w:ilvl w:val="1"/>
          <w:numId w:val="3"/>
        </w:numPr>
        <w:spacing w:after="0"/>
        <w:rPr>
          <w:rFonts w:ascii="Garamond" w:hAnsi="Garamond"/>
          <w:sz w:val="17"/>
          <w:szCs w:val="17"/>
        </w:rPr>
      </w:pPr>
      <w:r w:rsidRPr="00C737B7">
        <w:rPr>
          <w:rFonts w:ascii="Garamond" w:hAnsi="Garamond"/>
          <w:b/>
          <w:bCs/>
          <w:sz w:val="17"/>
          <w:szCs w:val="17"/>
        </w:rPr>
        <w:t>Allowed Amount: </w:t>
      </w:r>
      <w:r w:rsidRPr="00C737B7">
        <w:rPr>
          <w:rFonts w:ascii="Garamond" w:hAnsi="Garamond"/>
          <w:sz w:val="17"/>
          <w:szCs w:val="17"/>
        </w:rPr>
        <w:t>The amount TRICARE allows based on the date and location of service and provider status (</w:t>
      </w:r>
      <w:hyperlink r:id="rId17" w:history="1">
        <w:r w:rsidRPr="00C737B7">
          <w:rPr>
            <w:rStyle w:val="Hyperlink"/>
            <w:rFonts w:ascii="Garamond" w:hAnsi="Garamond"/>
            <w:sz w:val="17"/>
            <w:szCs w:val="17"/>
          </w:rPr>
          <w:t>network</w:t>
        </w:r>
      </w:hyperlink>
      <w:r w:rsidRPr="00C737B7">
        <w:rPr>
          <w:rFonts w:ascii="Garamond" w:hAnsi="Garamond"/>
          <w:sz w:val="17"/>
          <w:szCs w:val="17"/>
        </w:rPr>
        <w:t>, </w:t>
      </w:r>
      <w:hyperlink r:id="rId18" w:history="1">
        <w:r w:rsidRPr="00C737B7">
          <w:rPr>
            <w:rStyle w:val="Hyperlink"/>
            <w:rFonts w:ascii="Garamond" w:hAnsi="Garamond"/>
            <w:sz w:val="17"/>
            <w:szCs w:val="17"/>
          </w:rPr>
          <w:t>non-network</w:t>
        </w:r>
      </w:hyperlink>
      <w:r w:rsidRPr="00C737B7">
        <w:rPr>
          <w:rFonts w:ascii="Garamond" w:hAnsi="Garamond"/>
          <w:sz w:val="17"/>
          <w:szCs w:val="17"/>
        </w:rPr>
        <w:t>, or non-authorized)</w:t>
      </w:r>
    </w:p>
    <w:p w14:paraId="0012FB79" w14:textId="77777777" w:rsidR="00C737B7" w:rsidRPr="00C737B7" w:rsidRDefault="00C737B7" w:rsidP="00C737B7">
      <w:pPr>
        <w:numPr>
          <w:ilvl w:val="1"/>
          <w:numId w:val="3"/>
        </w:numPr>
        <w:spacing w:after="0"/>
        <w:rPr>
          <w:rFonts w:ascii="Garamond" w:hAnsi="Garamond"/>
          <w:sz w:val="17"/>
          <w:szCs w:val="17"/>
        </w:rPr>
      </w:pPr>
      <w:r w:rsidRPr="00C737B7">
        <w:rPr>
          <w:rFonts w:ascii="Garamond" w:hAnsi="Garamond"/>
          <w:b/>
          <w:bCs/>
          <w:sz w:val="17"/>
          <w:szCs w:val="17"/>
        </w:rPr>
        <w:t>Amount Not Covered: </w:t>
      </w:r>
      <w:r w:rsidRPr="00C737B7">
        <w:rPr>
          <w:rFonts w:ascii="Garamond" w:hAnsi="Garamond"/>
          <w:sz w:val="17"/>
          <w:szCs w:val="17"/>
        </w:rPr>
        <w:t>The amount TRICARE doesn’t cover</w:t>
      </w:r>
    </w:p>
    <w:p w14:paraId="734611C4" w14:textId="77777777" w:rsidR="00C737B7" w:rsidRPr="00C737B7" w:rsidRDefault="00C737B7" w:rsidP="00C737B7">
      <w:pPr>
        <w:numPr>
          <w:ilvl w:val="1"/>
          <w:numId w:val="3"/>
        </w:numPr>
        <w:spacing w:after="0"/>
        <w:rPr>
          <w:rFonts w:ascii="Garamond" w:hAnsi="Garamond"/>
          <w:sz w:val="17"/>
          <w:szCs w:val="17"/>
        </w:rPr>
      </w:pPr>
      <w:r w:rsidRPr="00C737B7">
        <w:rPr>
          <w:rFonts w:ascii="Garamond" w:hAnsi="Garamond"/>
          <w:b/>
          <w:bCs/>
          <w:sz w:val="17"/>
          <w:szCs w:val="17"/>
        </w:rPr>
        <w:t>Copayment and Cost-Share: </w:t>
      </w:r>
      <w:r w:rsidRPr="00C737B7">
        <w:rPr>
          <w:rFonts w:ascii="Garamond" w:hAnsi="Garamond"/>
          <w:sz w:val="17"/>
          <w:szCs w:val="17"/>
        </w:rPr>
        <w:t>The amount you owe</w:t>
      </w:r>
    </w:p>
    <w:p w14:paraId="1014B836" w14:textId="77777777" w:rsidR="00C737B7" w:rsidRPr="00C737B7" w:rsidRDefault="00C737B7" w:rsidP="00C737B7">
      <w:pPr>
        <w:spacing w:after="0"/>
        <w:ind w:left="1440"/>
        <w:rPr>
          <w:rFonts w:ascii="Garamond" w:hAnsi="Garamond"/>
          <w:sz w:val="17"/>
          <w:szCs w:val="17"/>
        </w:rPr>
      </w:pPr>
    </w:p>
    <w:p w14:paraId="20ADD2A3" w14:textId="394F61DD" w:rsidR="00C737B7" w:rsidRPr="00C737B7" w:rsidRDefault="00C737B7">
      <w:pPr>
        <w:rPr>
          <w:rFonts w:ascii="Garamond" w:hAnsi="Garamond"/>
          <w:sz w:val="17"/>
          <w:szCs w:val="17"/>
        </w:rPr>
      </w:pPr>
      <w:r w:rsidRPr="00C737B7">
        <w:rPr>
          <w:rFonts w:ascii="Garamond" w:hAnsi="Garamond"/>
          <w:sz w:val="17"/>
          <w:szCs w:val="17"/>
        </w:rPr>
        <w:t>Checking all these details will help you learn which services are included in the EOB and what your remaining costs may be.</w:t>
      </w:r>
    </w:p>
    <w:sectPr w:rsidR="00C737B7" w:rsidRPr="00C737B7">
      <w:head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06E631" w14:textId="77777777" w:rsidR="00C737B7" w:rsidRDefault="00C737B7" w:rsidP="00C737B7">
      <w:pPr>
        <w:spacing w:after="0" w:line="240" w:lineRule="auto"/>
      </w:pPr>
      <w:r>
        <w:separator/>
      </w:r>
    </w:p>
  </w:endnote>
  <w:endnote w:type="continuationSeparator" w:id="0">
    <w:p w14:paraId="05E4BA10" w14:textId="77777777" w:rsidR="00C737B7" w:rsidRDefault="00C737B7" w:rsidP="00C737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EB55C0" w14:textId="77777777" w:rsidR="00C737B7" w:rsidRDefault="00C737B7" w:rsidP="00C737B7">
      <w:pPr>
        <w:spacing w:after="0" w:line="240" w:lineRule="auto"/>
      </w:pPr>
      <w:r>
        <w:separator/>
      </w:r>
    </w:p>
  </w:footnote>
  <w:footnote w:type="continuationSeparator" w:id="0">
    <w:p w14:paraId="48B5F964" w14:textId="77777777" w:rsidR="00C737B7" w:rsidRDefault="00C737B7" w:rsidP="00C737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725C4" w14:textId="77777777" w:rsidR="00C737B7" w:rsidRPr="002A6CE6" w:rsidRDefault="00C737B7" w:rsidP="00C737B7">
    <w:pPr>
      <w:pStyle w:val="IntenseQuote"/>
      <w:spacing w:before="0" w:after="0" w:line="240" w:lineRule="auto"/>
      <w:ind w:left="0"/>
      <w:rPr>
        <w:rFonts w:ascii="Garamond" w:hAnsi="Garamond" w:cs="Times New Roman"/>
        <w:b/>
        <w:bCs/>
        <w:i w:val="0"/>
        <w:color w:val="002060"/>
      </w:rPr>
    </w:pPr>
    <w:r w:rsidRPr="002A6CE6">
      <w:rPr>
        <w:rFonts w:ascii="Garamond" w:hAnsi="Garamond" w:cs="Times New Roman"/>
        <w:i w:val="0"/>
        <w:noProof/>
        <w:color w:val="002060"/>
      </w:rPr>
      <w:drawing>
        <wp:anchor distT="0" distB="0" distL="114300" distR="114300" simplePos="0" relativeHeight="251659264" behindDoc="0" locked="0" layoutInCell="1" allowOverlap="1" wp14:anchorId="23A7F45A" wp14:editId="7D55F390">
          <wp:simplePos x="0" y="0"/>
          <wp:positionH relativeFrom="margin">
            <wp:align>right</wp:align>
          </wp:positionH>
          <wp:positionV relativeFrom="paragraph">
            <wp:posOffset>1905</wp:posOffset>
          </wp:positionV>
          <wp:extent cx="721995" cy="726440"/>
          <wp:effectExtent l="0" t="0" r="1905" b="0"/>
          <wp:wrapSquare wrapText="bothSides"/>
          <wp:docPr id="10499892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726440"/>
                  </a:xfrm>
                  <a:prstGeom prst="rect">
                    <a:avLst/>
                  </a:prstGeom>
                  <a:noFill/>
                </pic:spPr>
              </pic:pic>
            </a:graphicData>
          </a:graphic>
          <wp14:sizeRelH relativeFrom="margin">
            <wp14:pctWidth>0</wp14:pctWidth>
          </wp14:sizeRelH>
          <wp14:sizeRelV relativeFrom="margin">
            <wp14:pctHeight>0</wp14:pctHeight>
          </wp14:sizeRelV>
        </wp:anchor>
      </w:drawing>
    </w:r>
    <w:r w:rsidRPr="002A6CE6">
      <w:rPr>
        <w:rFonts w:ascii="Garamond" w:hAnsi="Garamond"/>
        <w:sz w:val="18"/>
        <w:szCs w:val="18"/>
      </w:rPr>
      <w:t xml:space="preserve"> </w:t>
    </w:r>
    <w:r w:rsidRPr="002A6CE6">
      <w:rPr>
        <w:rFonts w:ascii="Garamond" w:hAnsi="Garamond" w:cs="Times New Roman"/>
        <w:b/>
        <w:bCs/>
        <w:i w:val="0"/>
        <w:color w:val="002060"/>
      </w:rPr>
      <w:t>Defense Health Agency Communications and Public Affairs</w:t>
    </w:r>
  </w:p>
  <w:p w14:paraId="6CD0A34C" w14:textId="77777777" w:rsidR="00C737B7" w:rsidRPr="002A6CE6" w:rsidRDefault="00C737B7" w:rsidP="00C737B7">
    <w:pPr>
      <w:pStyle w:val="IntenseQuote"/>
      <w:spacing w:before="0" w:after="0" w:line="240" w:lineRule="auto"/>
      <w:ind w:left="0"/>
      <w:rPr>
        <w:rFonts w:ascii="Garamond" w:hAnsi="Garamond" w:cs="Times New Roman"/>
        <w:b/>
        <w:bCs/>
        <w:i w:val="0"/>
        <w:color w:val="002060"/>
      </w:rPr>
    </w:pPr>
    <w:r w:rsidRPr="002A6CE6">
      <w:rPr>
        <w:rFonts w:ascii="Garamond" w:hAnsi="Garamond" w:cs="Times New Roman"/>
        <w:b/>
        <w:bCs/>
        <w:i w:val="0"/>
        <w:color w:val="002060"/>
      </w:rPr>
      <w:t>Military Health Tip</w:t>
    </w:r>
  </w:p>
  <w:p w14:paraId="40DEFD81" w14:textId="6A0BD8C7" w:rsidR="00C737B7" w:rsidRPr="00C737B7" w:rsidRDefault="00C737B7" w:rsidP="00C737B7">
    <w:pPr>
      <w:pStyle w:val="IntenseQuote"/>
      <w:spacing w:before="0" w:after="0" w:line="240" w:lineRule="auto"/>
      <w:ind w:left="0"/>
      <w:rPr>
        <w:rFonts w:ascii="Garamond" w:hAnsi="Garamond" w:cs="Times New Roman"/>
        <w:i w:val="0"/>
        <w:color w:val="002060"/>
      </w:rPr>
    </w:pPr>
    <w:r>
      <w:rPr>
        <w:rFonts w:ascii="Garamond" w:hAnsi="Garamond" w:cs="Times New Roman"/>
        <w:i w:val="0"/>
        <w:color w:val="002060"/>
      </w:rPr>
      <w:t>13</w:t>
    </w:r>
    <w:r>
      <w:rPr>
        <w:rFonts w:ascii="Garamond" w:hAnsi="Garamond" w:cs="Times New Roman"/>
        <w:i w:val="0"/>
        <w:color w:val="002060"/>
      </w:rPr>
      <w:t xml:space="preserve"> March</w:t>
    </w:r>
    <w:r w:rsidRPr="002A6CE6">
      <w:rPr>
        <w:rFonts w:ascii="Garamond" w:hAnsi="Garamond" w:cs="Times New Roman"/>
        <w:i w:val="0"/>
        <w:color w:val="002060"/>
      </w:rPr>
      <w:t xml:space="preserve"> 202</w:t>
    </w:r>
    <w:r>
      <w:rPr>
        <w:rFonts w:ascii="Garamond" w:hAnsi="Garamond" w:cs="Times New Roman"/>
        <w:i w:val="0"/>
        <w:color w:val="002060"/>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3403B8"/>
    <w:multiLevelType w:val="multilevel"/>
    <w:tmpl w:val="BBF2D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FD3499B"/>
    <w:multiLevelType w:val="multilevel"/>
    <w:tmpl w:val="0720AA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0A70F71"/>
    <w:multiLevelType w:val="multilevel"/>
    <w:tmpl w:val="12549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5313996">
    <w:abstractNumId w:val="2"/>
  </w:num>
  <w:num w:numId="2" w16cid:durableId="32923480">
    <w:abstractNumId w:val="0"/>
  </w:num>
  <w:num w:numId="3" w16cid:durableId="17867318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7B7"/>
    <w:rsid w:val="00230DFE"/>
    <w:rsid w:val="009D01A2"/>
    <w:rsid w:val="00C737B7"/>
    <w:rsid w:val="00E90B99"/>
    <w:rsid w:val="00FF76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A39AC"/>
  <w15:chartTrackingRefBased/>
  <w15:docId w15:val="{04618486-69AB-4E01-AFD5-ED80B1F64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737B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737B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737B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737B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737B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737B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737B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737B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737B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37B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737B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737B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737B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737B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737B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737B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737B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737B7"/>
    <w:rPr>
      <w:rFonts w:eastAsiaTheme="majorEastAsia" w:cstheme="majorBidi"/>
      <w:color w:val="272727" w:themeColor="text1" w:themeTint="D8"/>
    </w:rPr>
  </w:style>
  <w:style w:type="paragraph" w:styleId="Title">
    <w:name w:val="Title"/>
    <w:basedOn w:val="Normal"/>
    <w:next w:val="Normal"/>
    <w:link w:val="TitleChar"/>
    <w:uiPriority w:val="10"/>
    <w:qFormat/>
    <w:rsid w:val="00C737B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737B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737B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737B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737B7"/>
    <w:pPr>
      <w:spacing w:before="160"/>
      <w:jc w:val="center"/>
    </w:pPr>
    <w:rPr>
      <w:i/>
      <w:iCs/>
      <w:color w:val="404040" w:themeColor="text1" w:themeTint="BF"/>
    </w:rPr>
  </w:style>
  <w:style w:type="character" w:customStyle="1" w:styleId="QuoteChar">
    <w:name w:val="Quote Char"/>
    <w:basedOn w:val="DefaultParagraphFont"/>
    <w:link w:val="Quote"/>
    <w:uiPriority w:val="29"/>
    <w:rsid w:val="00C737B7"/>
    <w:rPr>
      <w:i/>
      <w:iCs/>
      <w:color w:val="404040" w:themeColor="text1" w:themeTint="BF"/>
    </w:rPr>
  </w:style>
  <w:style w:type="paragraph" w:styleId="ListParagraph">
    <w:name w:val="List Paragraph"/>
    <w:basedOn w:val="Normal"/>
    <w:uiPriority w:val="34"/>
    <w:qFormat/>
    <w:rsid w:val="00C737B7"/>
    <w:pPr>
      <w:ind w:left="720"/>
      <w:contextualSpacing/>
    </w:pPr>
  </w:style>
  <w:style w:type="character" w:styleId="IntenseEmphasis">
    <w:name w:val="Intense Emphasis"/>
    <w:basedOn w:val="DefaultParagraphFont"/>
    <w:uiPriority w:val="21"/>
    <w:qFormat/>
    <w:rsid w:val="00C737B7"/>
    <w:rPr>
      <w:i/>
      <w:iCs/>
      <w:color w:val="0F4761" w:themeColor="accent1" w:themeShade="BF"/>
    </w:rPr>
  </w:style>
  <w:style w:type="paragraph" w:styleId="IntenseQuote">
    <w:name w:val="Intense Quote"/>
    <w:basedOn w:val="Normal"/>
    <w:next w:val="Normal"/>
    <w:link w:val="IntenseQuoteChar"/>
    <w:uiPriority w:val="30"/>
    <w:qFormat/>
    <w:rsid w:val="00C737B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737B7"/>
    <w:rPr>
      <w:i/>
      <w:iCs/>
      <w:color w:val="0F4761" w:themeColor="accent1" w:themeShade="BF"/>
    </w:rPr>
  </w:style>
  <w:style w:type="character" w:styleId="IntenseReference">
    <w:name w:val="Intense Reference"/>
    <w:basedOn w:val="DefaultParagraphFont"/>
    <w:uiPriority w:val="32"/>
    <w:qFormat/>
    <w:rsid w:val="00C737B7"/>
    <w:rPr>
      <w:b/>
      <w:bCs/>
      <w:smallCaps/>
      <w:color w:val="0F4761" w:themeColor="accent1" w:themeShade="BF"/>
      <w:spacing w:val="5"/>
    </w:rPr>
  </w:style>
  <w:style w:type="paragraph" w:styleId="Header">
    <w:name w:val="header"/>
    <w:basedOn w:val="Normal"/>
    <w:link w:val="HeaderChar"/>
    <w:uiPriority w:val="99"/>
    <w:unhideWhenUsed/>
    <w:rsid w:val="00C737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37B7"/>
  </w:style>
  <w:style w:type="paragraph" w:styleId="Footer">
    <w:name w:val="footer"/>
    <w:basedOn w:val="Normal"/>
    <w:link w:val="FooterChar"/>
    <w:uiPriority w:val="99"/>
    <w:unhideWhenUsed/>
    <w:rsid w:val="00C737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37B7"/>
  </w:style>
  <w:style w:type="character" w:styleId="Hyperlink">
    <w:name w:val="Hyperlink"/>
    <w:basedOn w:val="DefaultParagraphFont"/>
    <w:uiPriority w:val="99"/>
    <w:unhideWhenUsed/>
    <w:rsid w:val="00C737B7"/>
    <w:rPr>
      <w:color w:val="467886" w:themeColor="hyperlink"/>
      <w:u w:val="single"/>
    </w:rPr>
  </w:style>
  <w:style w:type="character" w:styleId="UnresolvedMention">
    <w:name w:val="Unresolved Mention"/>
    <w:basedOn w:val="DefaultParagraphFont"/>
    <w:uiPriority w:val="99"/>
    <w:semiHidden/>
    <w:unhideWhenUsed/>
    <w:rsid w:val="00C737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981088">
      <w:bodyDiv w:val="1"/>
      <w:marLeft w:val="0"/>
      <w:marRight w:val="0"/>
      <w:marTop w:val="0"/>
      <w:marBottom w:val="0"/>
      <w:divBdr>
        <w:top w:val="none" w:sz="0" w:space="0" w:color="auto"/>
        <w:left w:val="none" w:sz="0" w:space="0" w:color="auto"/>
        <w:bottom w:val="none" w:sz="0" w:space="0" w:color="auto"/>
        <w:right w:val="none" w:sz="0" w:space="0" w:color="auto"/>
      </w:divBdr>
    </w:div>
    <w:div w:id="616176473">
      <w:bodyDiv w:val="1"/>
      <w:marLeft w:val="0"/>
      <w:marRight w:val="0"/>
      <w:marTop w:val="0"/>
      <w:marBottom w:val="0"/>
      <w:divBdr>
        <w:top w:val="none" w:sz="0" w:space="0" w:color="auto"/>
        <w:left w:val="none" w:sz="0" w:space="0" w:color="auto"/>
        <w:bottom w:val="none" w:sz="0" w:space="0" w:color="auto"/>
        <w:right w:val="none" w:sz="0" w:space="0" w:color="auto"/>
      </w:divBdr>
    </w:div>
    <w:div w:id="859011068">
      <w:bodyDiv w:val="1"/>
      <w:marLeft w:val="0"/>
      <w:marRight w:val="0"/>
      <w:marTop w:val="0"/>
      <w:marBottom w:val="0"/>
      <w:divBdr>
        <w:top w:val="none" w:sz="0" w:space="0" w:color="auto"/>
        <w:left w:val="none" w:sz="0" w:space="0" w:color="auto"/>
        <w:bottom w:val="none" w:sz="0" w:space="0" w:color="auto"/>
        <w:right w:val="none" w:sz="0" w:space="0" w:color="auto"/>
      </w:divBdr>
    </w:div>
    <w:div w:id="963539432">
      <w:bodyDiv w:val="1"/>
      <w:marLeft w:val="0"/>
      <w:marRight w:val="0"/>
      <w:marTop w:val="0"/>
      <w:marBottom w:val="0"/>
      <w:divBdr>
        <w:top w:val="none" w:sz="0" w:space="0" w:color="auto"/>
        <w:left w:val="none" w:sz="0" w:space="0" w:color="auto"/>
        <w:bottom w:val="none" w:sz="0" w:space="0" w:color="auto"/>
        <w:right w:val="none" w:sz="0" w:space="0" w:color="auto"/>
      </w:divBdr>
    </w:div>
    <w:div w:id="1112743079">
      <w:bodyDiv w:val="1"/>
      <w:marLeft w:val="0"/>
      <w:marRight w:val="0"/>
      <w:marTop w:val="0"/>
      <w:marBottom w:val="0"/>
      <w:divBdr>
        <w:top w:val="none" w:sz="0" w:space="0" w:color="auto"/>
        <w:left w:val="none" w:sz="0" w:space="0" w:color="auto"/>
        <w:bottom w:val="none" w:sz="0" w:space="0" w:color="auto"/>
        <w:right w:val="none" w:sz="0" w:space="0" w:color="auto"/>
      </w:divBdr>
    </w:div>
    <w:div w:id="1310398570">
      <w:bodyDiv w:val="1"/>
      <w:marLeft w:val="0"/>
      <w:marRight w:val="0"/>
      <w:marTop w:val="0"/>
      <w:marBottom w:val="0"/>
      <w:divBdr>
        <w:top w:val="none" w:sz="0" w:space="0" w:color="auto"/>
        <w:left w:val="none" w:sz="0" w:space="0" w:color="auto"/>
        <w:bottom w:val="none" w:sz="0" w:space="0" w:color="auto"/>
        <w:right w:val="none" w:sz="0" w:space="0" w:color="auto"/>
      </w:divBdr>
    </w:div>
    <w:div w:id="1372263605">
      <w:bodyDiv w:val="1"/>
      <w:marLeft w:val="0"/>
      <w:marRight w:val="0"/>
      <w:marTop w:val="0"/>
      <w:marBottom w:val="0"/>
      <w:divBdr>
        <w:top w:val="none" w:sz="0" w:space="0" w:color="auto"/>
        <w:left w:val="none" w:sz="0" w:space="0" w:color="auto"/>
        <w:bottom w:val="none" w:sz="0" w:space="0" w:color="auto"/>
        <w:right w:val="none" w:sz="0" w:space="0" w:color="auto"/>
      </w:divBdr>
    </w:div>
    <w:div w:id="1700547134">
      <w:bodyDiv w:val="1"/>
      <w:marLeft w:val="0"/>
      <w:marRight w:val="0"/>
      <w:marTop w:val="0"/>
      <w:marBottom w:val="0"/>
      <w:divBdr>
        <w:top w:val="none" w:sz="0" w:space="0" w:color="auto"/>
        <w:left w:val="none" w:sz="0" w:space="0" w:color="auto"/>
        <w:bottom w:val="none" w:sz="0" w:space="0" w:color="auto"/>
        <w:right w:val="none" w:sz="0" w:space="0" w:color="auto"/>
      </w:divBdr>
    </w:div>
    <w:div w:id="1760516636">
      <w:bodyDiv w:val="1"/>
      <w:marLeft w:val="0"/>
      <w:marRight w:val="0"/>
      <w:marTop w:val="0"/>
      <w:marBottom w:val="0"/>
      <w:divBdr>
        <w:top w:val="none" w:sz="0" w:space="0" w:color="auto"/>
        <w:left w:val="none" w:sz="0" w:space="0" w:color="auto"/>
        <w:bottom w:val="none" w:sz="0" w:space="0" w:color="auto"/>
        <w:right w:val="none" w:sz="0" w:space="0" w:color="auto"/>
      </w:divBdr>
    </w:div>
    <w:div w:id="1771461521">
      <w:bodyDiv w:val="1"/>
      <w:marLeft w:val="0"/>
      <w:marRight w:val="0"/>
      <w:marTop w:val="0"/>
      <w:marBottom w:val="0"/>
      <w:divBdr>
        <w:top w:val="none" w:sz="0" w:space="0" w:color="auto"/>
        <w:left w:val="none" w:sz="0" w:space="0" w:color="auto"/>
        <w:bottom w:val="none" w:sz="0" w:space="0" w:color="auto"/>
        <w:right w:val="none" w:sz="0" w:space="0" w:color="auto"/>
      </w:divBdr>
    </w:div>
    <w:div w:id="1786657732">
      <w:bodyDiv w:val="1"/>
      <w:marLeft w:val="0"/>
      <w:marRight w:val="0"/>
      <w:marTop w:val="0"/>
      <w:marBottom w:val="0"/>
      <w:divBdr>
        <w:top w:val="none" w:sz="0" w:space="0" w:color="auto"/>
        <w:left w:val="none" w:sz="0" w:space="0" w:color="auto"/>
        <w:bottom w:val="none" w:sz="0" w:space="0" w:color="auto"/>
        <w:right w:val="none" w:sz="0" w:space="0" w:color="auto"/>
      </w:divBdr>
    </w:div>
    <w:div w:id="2080707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icare.mil/PatientResources/Claims" TargetMode="External"/><Relationship Id="rId13" Type="http://schemas.openxmlformats.org/officeDocument/2006/relationships/hyperlink" Target="https://tricare.mil/appeals" TargetMode="External"/><Relationship Id="rId18" Type="http://schemas.openxmlformats.org/officeDocument/2006/relationships/hyperlink" Target="https://www.tricare.mil/GettingCare/FindDoctor/AllProviderDirectories/NonNetwork"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tricare.mil/PatientResources/Claims/MedicalClaims/EOB" TargetMode="External"/><Relationship Id="rId12" Type="http://schemas.openxmlformats.org/officeDocument/2006/relationships/hyperlink" Target="https://www.tricare.mil/About/Partners" TargetMode="External"/><Relationship Id="rId17" Type="http://schemas.openxmlformats.org/officeDocument/2006/relationships/hyperlink" Target="https://www.tricare.mil/networkproviders" TargetMode="External"/><Relationship Id="rId2" Type="http://schemas.openxmlformats.org/officeDocument/2006/relationships/styles" Target="styles.xml"/><Relationship Id="rId16" Type="http://schemas.openxmlformats.org/officeDocument/2006/relationships/hyperlink" Target="https://tricare.mil/ohi"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ricare.mil/PatientResources/ContactUs/ClaimsAddresses" TargetMode="External"/><Relationship Id="rId5" Type="http://schemas.openxmlformats.org/officeDocument/2006/relationships/footnotes" Target="footnotes.xml"/><Relationship Id="rId15" Type="http://schemas.openxmlformats.org/officeDocument/2006/relationships/hyperlink" Target="https://tricare.mil/Costs/Cost-Terms/Catastrophic-Cap" TargetMode="External"/><Relationship Id="rId10" Type="http://schemas.openxmlformats.org/officeDocument/2006/relationships/hyperlink" Target="https://www.tricare.mil/Plans/HealthPlans"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newsroom.tricare.mil/News/TRICARE-News/Article/3943222/tricare-claim-form-updated-to-assist-in-processing-overseas-claims" TargetMode="External"/><Relationship Id="rId14" Type="http://schemas.openxmlformats.org/officeDocument/2006/relationships/hyperlink" Target="https://tricare.mil/FAQs/General/GEN_Deductibl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610</Words>
  <Characters>3480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Adams, Peyton M CTR DHA COMMS &amp; PUB AFFAIRS (USA)</dc:creator>
  <cp:keywords/>
  <dc:description/>
  <cp:lastModifiedBy>Adams, Peyton M CTR DHA COMMS &amp; PUB AFFAIRS (USA)</cp:lastModifiedBy>
  <cp:revision>3</cp:revision>
  <dcterms:created xsi:type="dcterms:W3CDTF">2025-03-13T16:41:00Z</dcterms:created>
  <dcterms:modified xsi:type="dcterms:W3CDTF">2025-03-13T17:02:00Z</dcterms:modified>
</cp:coreProperties>
</file>